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CD" w:rsidRDefault="001308CD" w:rsidP="001308CD">
      <w:pPr>
        <w:pStyle w:val="a5"/>
        <w:widowControl/>
        <w:numPr>
          <w:ilvl w:val="0"/>
          <w:numId w:val="1"/>
        </w:numPr>
        <w:tabs>
          <w:tab w:val="left" w:pos="567"/>
        </w:tabs>
        <w:snapToGrid w:val="0"/>
        <w:spacing w:beforeLines="0" w:line="360" w:lineRule="auto"/>
        <w:ind w:firstLineChars="0"/>
        <w:jc w:val="left"/>
        <w:rPr>
          <w:rFonts w:hint="eastAsia"/>
          <w:b/>
          <w:color w:val="000000" w:themeColor="text1"/>
          <w:szCs w:val="21"/>
        </w:rPr>
      </w:pPr>
      <w:r w:rsidRPr="00C6602E">
        <w:rPr>
          <w:rFonts w:hint="eastAsia"/>
          <w:b/>
          <w:color w:val="000000" w:themeColor="text1"/>
          <w:szCs w:val="21"/>
        </w:rPr>
        <w:t>境内住院垫付服务方案</w:t>
      </w:r>
      <w:bookmarkStart w:id="0" w:name="_GoBack"/>
      <w:bookmarkEnd w:id="0"/>
    </w:p>
    <w:p w:rsidR="001308CD" w:rsidRPr="001308CD" w:rsidRDefault="001308CD" w:rsidP="001308CD">
      <w:pPr>
        <w:widowControl/>
        <w:tabs>
          <w:tab w:val="left" w:pos="567"/>
        </w:tabs>
        <w:snapToGrid w:val="0"/>
        <w:spacing w:line="360" w:lineRule="auto"/>
        <w:jc w:val="left"/>
        <w:rPr>
          <w:b/>
          <w:color w:val="000000" w:themeColor="text1"/>
          <w:szCs w:val="21"/>
        </w:rPr>
      </w:pPr>
      <w:r>
        <w:rPr>
          <w:rFonts w:hint="eastAsia"/>
          <w:b/>
        </w:rPr>
        <w:t>境内电话：</w:t>
      </w:r>
      <w:r>
        <w:rPr>
          <w:rFonts w:hint="eastAsia"/>
          <w:b/>
        </w:rPr>
        <w:t>4006506119</w:t>
      </w:r>
    </w:p>
    <w:tbl>
      <w:tblPr>
        <w:tblW w:w="8906"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667"/>
        <w:gridCol w:w="1881"/>
        <w:gridCol w:w="5259"/>
      </w:tblGrid>
      <w:tr w:rsidR="001308CD" w:rsidRPr="00ED6A85" w:rsidTr="000B0936">
        <w:trPr>
          <w:trHeight w:val="360"/>
          <w:jc w:val="center"/>
        </w:trPr>
        <w:tc>
          <w:tcPr>
            <w:tcW w:w="1099" w:type="dxa"/>
            <w:vAlign w:val="center"/>
          </w:tcPr>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产品级别</w:t>
            </w:r>
          </w:p>
        </w:tc>
        <w:tc>
          <w:tcPr>
            <w:tcW w:w="2548" w:type="dxa"/>
            <w:gridSpan w:val="2"/>
          </w:tcPr>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产品编号</w:t>
            </w:r>
          </w:p>
        </w:tc>
        <w:tc>
          <w:tcPr>
            <w:tcW w:w="5259" w:type="dxa"/>
            <w:vAlign w:val="center"/>
          </w:tcPr>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产品内容说明</w:t>
            </w:r>
          </w:p>
        </w:tc>
      </w:tr>
      <w:tr w:rsidR="001308CD" w:rsidRPr="00ED6A85" w:rsidTr="000B0936">
        <w:trPr>
          <w:trHeight w:val="1009"/>
          <w:jc w:val="center"/>
        </w:trPr>
        <w:tc>
          <w:tcPr>
            <w:tcW w:w="1099" w:type="dxa"/>
            <w:vMerge w:val="restart"/>
            <w:vAlign w:val="center"/>
          </w:tcPr>
          <w:p w:rsidR="001308CD" w:rsidRPr="00ED6A85" w:rsidRDefault="001308CD" w:rsidP="000B0936">
            <w:pPr>
              <w:ind w:leftChars="-18" w:left="-4" w:hangingChars="16" w:hanging="34"/>
              <w:jc w:val="center"/>
              <w:rPr>
                <w:b/>
                <w:color w:val="000000" w:themeColor="text1"/>
                <w:szCs w:val="21"/>
              </w:rPr>
            </w:pPr>
            <w:r w:rsidRPr="00C6602E">
              <w:rPr>
                <w:b/>
                <w:color w:val="000000" w:themeColor="text1"/>
                <w:szCs w:val="21"/>
              </w:rPr>
              <w:t>A</w:t>
            </w:r>
            <w:r w:rsidRPr="00C6602E">
              <w:rPr>
                <w:rFonts w:hint="eastAsia"/>
                <w:b/>
                <w:color w:val="000000" w:themeColor="text1"/>
                <w:szCs w:val="21"/>
              </w:rPr>
              <w:t>级</w:t>
            </w:r>
          </w:p>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基本信息</w:t>
            </w: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A1</w:t>
            </w:r>
          </w:p>
        </w:tc>
        <w:tc>
          <w:tcPr>
            <w:tcW w:w="1881" w:type="dxa"/>
            <w:vAlign w:val="center"/>
          </w:tcPr>
          <w:p w:rsidR="001308CD" w:rsidRPr="00ED6A85" w:rsidRDefault="001308CD" w:rsidP="000B0936">
            <w:pPr>
              <w:rPr>
                <w:color w:val="000000" w:themeColor="text1"/>
                <w:szCs w:val="21"/>
              </w:rPr>
            </w:pPr>
            <w:r w:rsidRPr="00C6602E">
              <w:rPr>
                <w:color w:val="000000" w:themeColor="text1"/>
                <w:szCs w:val="21"/>
              </w:rPr>
              <w:t>7×24</w:t>
            </w:r>
            <w:r w:rsidRPr="00C6602E">
              <w:rPr>
                <w:rFonts w:hint="eastAsia"/>
                <w:color w:val="000000" w:themeColor="text1"/>
                <w:szCs w:val="21"/>
              </w:rPr>
              <w:t>小时多语种救援热线</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呼叫中心在得到遇险服务对象的援救呼叫后，根据需要为其提供基本的现场医疗救援常识和心理支持。服务每天</w:t>
            </w:r>
            <w:r w:rsidRPr="00C6602E">
              <w:rPr>
                <w:color w:val="000000" w:themeColor="text1"/>
                <w:szCs w:val="21"/>
              </w:rPr>
              <w:t>24</w:t>
            </w:r>
            <w:r w:rsidRPr="00C6602E">
              <w:rPr>
                <w:rFonts w:hint="eastAsia"/>
                <w:color w:val="000000" w:themeColor="text1"/>
                <w:szCs w:val="21"/>
              </w:rPr>
              <w:t>小时，每周</w:t>
            </w:r>
            <w:r w:rsidRPr="00C6602E">
              <w:rPr>
                <w:color w:val="000000" w:themeColor="text1"/>
                <w:szCs w:val="21"/>
              </w:rPr>
              <w:t>7</w:t>
            </w:r>
            <w:r w:rsidRPr="00C6602E">
              <w:rPr>
                <w:rFonts w:hint="eastAsia"/>
                <w:color w:val="000000" w:themeColor="text1"/>
                <w:szCs w:val="21"/>
              </w:rPr>
              <w:t>天</w:t>
            </w:r>
          </w:p>
        </w:tc>
      </w:tr>
      <w:tr w:rsidR="001308CD" w:rsidRPr="00ED6A85" w:rsidTr="000B0936">
        <w:trPr>
          <w:trHeight w:val="1295"/>
          <w:jc w:val="center"/>
        </w:trPr>
        <w:tc>
          <w:tcPr>
            <w:tcW w:w="1099" w:type="dxa"/>
            <w:vMerge/>
            <w:vAlign w:val="center"/>
          </w:tcPr>
          <w:p w:rsidR="001308CD" w:rsidRPr="00ED6A85" w:rsidRDefault="001308CD" w:rsidP="000B0936">
            <w:pPr>
              <w:ind w:leftChars="-18" w:left="-4" w:hangingChars="16" w:hanging="34"/>
              <w:jc w:val="center"/>
              <w:rPr>
                <w:b/>
                <w:color w:val="000000" w:themeColor="text1"/>
                <w:szCs w:val="21"/>
              </w:rPr>
            </w:pP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A2</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协助报案、联络家属</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呼叫中心根据事件状况和服务对象的要求，在第一时间协助服务对象向相关机构报案，并酌情联络服务对象家属，跟进事件处理的进展；为家属提供基本医疗信息和心理支持。</w:t>
            </w:r>
          </w:p>
        </w:tc>
      </w:tr>
      <w:tr w:rsidR="001308CD" w:rsidRPr="00ED6A85" w:rsidTr="000B0936">
        <w:trPr>
          <w:trHeight w:val="946"/>
          <w:jc w:val="center"/>
        </w:trPr>
        <w:tc>
          <w:tcPr>
            <w:tcW w:w="1099" w:type="dxa"/>
            <w:vMerge/>
            <w:vAlign w:val="center"/>
          </w:tcPr>
          <w:p w:rsidR="001308CD" w:rsidRPr="00ED6A85" w:rsidRDefault="001308CD" w:rsidP="000B0936">
            <w:pPr>
              <w:ind w:leftChars="-18" w:left="-4" w:hangingChars="16" w:hanging="34"/>
              <w:jc w:val="center"/>
              <w:rPr>
                <w:b/>
                <w:color w:val="000000" w:themeColor="text1"/>
                <w:szCs w:val="21"/>
              </w:rPr>
            </w:pP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A3</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协助正确呼叫</w:t>
            </w:r>
          </w:p>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救护车辆</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专业救援医生根据服务对象的伤病情，评估是否必须安排急救车辆；如症状符合救治标准，协助服务对象正确呼叫急救车辆</w:t>
            </w:r>
          </w:p>
        </w:tc>
      </w:tr>
      <w:tr w:rsidR="001308CD" w:rsidRPr="00ED6A85" w:rsidTr="000B0936">
        <w:trPr>
          <w:trHeight w:val="809"/>
          <w:jc w:val="center"/>
        </w:trPr>
        <w:tc>
          <w:tcPr>
            <w:tcW w:w="1099" w:type="dxa"/>
            <w:vMerge w:val="restart"/>
            <w:vAlign w:val="center"/>
          </w:tcPr>
          <w:p w:rsidR="001308CD" w:rsidRPr="00ED6A85" w:rsidRDefault="001308CD" w:rsidP="000B0936">
            <w:pPr>
              <w:ind w:leftChars="-18" w:left="-4" w:hangingChars="16" w:hanging="34"/>
              <w:jc w:val="center"/>
              <w:rPr>
                <w:b/>
                <w:color w:val="000000" w:themeColor="text1"/>
                <w:szCs w:val="21"/>
              </w:rPr>
            </w:pPr>
            <w:r w:rsidRPr="00C6602E">
              <w:rPr>
                <w:b/>
                <w:color w:val="000000" w:themeColor="text1"/>
                <w:szCs w:val="21"/>
              </w:rPr>
              <w:t>B</w:t>
            </w:r>
            <w:r w:rsidRPr="00C6602E">
              <w:rPr>
                <w:rFonts w:hint="eastAsia"/>
                <w:b/>
                <w:color w:val="000000" w:themeColor="text1"/>
                <w:szCs w:val="21"/>
              </w:rPr>
              <w:t>级</w:t>
            </w:r>
          </w:p>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紧急干预</w:t>
            </w: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B1</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院前指导</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专业的授权医生通过电话在第一时间给予医疗指导，提供基本的现场医疗常识和心理支持，根据情况协助联系救护车辆并全程跟踪救治进程，协助服务对象报案等</w:t>
            </w:r>
          </w:p>
        </w:tc>
      </w:tr>
      <w:tr w:rsidR="001308CD" w:rsidRPr="00ED6A85" w:rsidTr="000B0936">
        <w:trPr>
          <w:trHeight w:val="1232"/>
          <w:jc w:val="center"/>
        </w:trPr>
        <w:tc>
          <w:tcPr>
            <w:tcW w:w="1099" w:type="dxa"/>
            <w:vMerge/>
            <w:vAlign w:val="center"/>
          </w:tcPr>
          <w:p w:rsidR="001308CD" w:rsidRPr="00ED6A85" w:rsidRDefault="001308CD" w:rsidP="000B0936">
            <w:pPr>
              <w:ind w:leftChars="-18" w:left="-4" w:hangingChars="16" w:hanging="34"/>
              <w:jc w:val="center"/>
              <w:rPr>
                <w:b/>
                <w:color w:val="000000" w:themeColor="text1"/>
                <w:szCs w:val="21"/>
              </w:rPr>
            </w:pP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B2</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推荐医院</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以就近、救急的抢救原则对服务对象的伤病情进行评估，并通过医疗急救机构网络数据库筛选出符合救治要求的优质医院及专科，供服务对象</w:t>
            </w:r>
            <w:r w:rsidRPr="00C6602E">
              <w:rPr>
                <w:color w:val="000000" w:themeColor="text1"/>
                <w:szCs w:val="21"/>
              </w:rPr>
              <w:t>/</w:t>
            </w:r>
            <w:r w:rsidRPr="00C6602E">
              <w:rPr>
                <w:rFonts w:hint="eastAsia"/>
                <w:color w:val="000000" w:themeColor="text1"/>
                <w:szCs w:val="21"/>
              </w:rPr>
              <w:t>家属及急救车跟车医生参考</w:t>
            </w:r>
          </w:p>
        </w:tc>
      </w:tr>
      <w:tr w:rsidR="001308CD" w:rsidRPr="00ED6A85" w:rsidTr="000B0936">
        <w:trPr>
          <w:trHeight w:val="812"/>
          <w:jc w:val="center"/>
        </w:trPr>
        <w:tc>
          <w:tcPr>
            <w:tcW w:w="1099" w:type="dxa"/>
            <w:vMerge/>
            <w:vAlign w:val="center"/>
          </w:tcPr>
          <w:p w:rsidR="001308CD" w:rsidRPr="00ED6A85" w:rsidRDefault="001308CD" w:rsidP="000B0936">
            <w:pPr>
              <w:ind w:leftChars="-18" w:left="-4" w:hangingChars="16" w:hanging="34"/>
              <w:jc w:val="center"/>
              <w:rPr>
                <w:b/>
                <w:color w:val="000000" w:themeColor="text1"/>
                <w:szCs w:val="21"/>
              </w:rPr>
            </w:pP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B3</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入院指导</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评估服务对象伤病状况及相关网络医院资源，以就近、救急的抢救原则，筛选出最适合的医院及科室，并提供门急诊就医、住院手续办理、就医注意事项等指导。</w:t>
            </w:r>
          </w:p>
        </w:tc>
      </w:tr>
      <w:tr w:rsidR="001308CD" w:rsidRPr="00ED6A85" w:rsidTr="000B0936">
        <w:trPr>
          <w:trHeight w:val="1427"/>
          <w:jc w:val="center"/>
        </w:trPr>
        <w:tc>
          <w:tcPr>
            <w:tcW w:w="1099" w:type="dxa"/>
            <w:vMerge w:val="restart"/>
            <w:vAlign w:val="center"/>
          </w:tcPr>
          <w:p w:rsidR="001308CD" w:rsidRPr="00ED6A85" w:rsidRDefault="001308CD" w:rsidP="000B0936">
            <w:pPr>
              <w:ind w:leftChars="-18" w:left="-4" w:hangingChars="16" w:hanging="34"/>
              <w:jc w:val="center"/>
              <w:rPr>
                <w:b/>
                <w:color w:val="000000" w:themeColor="text1"/>
                <w:szCs w:val="21"/>
              </w:rPr>
            </w:pPr>
            <w:r w:rsidRPr="00C6602E">
              <w:rPr>
                <w:b/>
                <w:color w:val="000000" w:themeColor="text1"/>
                <w:szCs w:val="21"/>
              </w:rPr>
              <w:t>C</w:t>
            </w:r>
            <w:r w:rsidRPr="00C6602E">
              <w:rPr>
                <w:rFonts w:hint="eastAsia"/>
                <w:b/>
                <w:color w:val="000000" w:themeColor="text1"/>
                <w:szCs w:val="21"/>
              </w:rPr>
              <w:t>级</w:t>
            </w:r>
          </w:p>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综合干预</w:t>
            </w: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C1</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住院医疗费用的</w:t>
            </w:r>
          </w:p>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担保或代垫</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接到服务对象报案经乙方授权医生判定属于相关保险公司责任范围，并确有需要的，</w:t>
            </w:r>
            <w:r w:rsidRPr="00C6602E">
              <w:rPr>
                <w:color w:val="000000" w:themeColor="text1"/>
                <w:szCs w:val="21"/>
              </w:rPr>
              <w:t>24</w:t>
            </w:r>
            <w:r w:rsidRPr="00C6602E">
              <w:rPr>
                <w:rFonts w:hint="eastAsia"/>
                <w:color w:val="000000" w:themeColor="text1"/>
                <w:szCs w:val="21"/>
              </w:rPr>
              <w:t>小时内向分布于大陆的</w:t>
            </w:r>
            <w:r w:rsidRPr="00C6602E">
              <w:rPr>
                <w:color w:val="000000" w:themeColor="text1"/>
                <w:szCs w:val="21"/>
              </w:rPr>
              <w:t>958</w:t>
            </w:r>
            <w:r w:rsidRPr="00C6602E">
              <w:rPr>
                <w:rFonts w:hint="eastAsia"/>
                <w:color w:val="000000" w:themeColor="text1"/>
                <w:szCs w:val="21"/>
              </w:rPr>
              <w:t>家网络医院范围内提供不高于本协议服务方案及保险责任中约定的医疗费用限额提供担保或垫付</w:t>
            </w:r>
            <w:r w:rsidRPr="00C6602E">
              <w:rPr>
                <w:color w:val="000000" w:themeColor="text1"/>
                <w:szCs w:val="21"/>
              </w:rPr>
              <w:t>.</w:t>
            </w:r>
          </w:p>
        </w:tc>
      </w:tr>
      <w:tr w:rsidR="001308CD" w:rsidRPr="00ED6A85" w:rsidTr="000B0936">
        <w:trPr>
          <w:trHeight w:val="1048"/>
          <w:jc w:val="center"/>
        </w:trPr>
        <w:tc>
          <w:tcPr>
            <w:tcW w:w="1099" w:type="dxa"/>
            <w:vMerge/>
            <w:vAlign w:val="center"/>
          </w:tcPr>
          <w:p w:rsidR="001308CD" w:rsidRPr="00ED6A85" w:rsidRDefault="001308CD" w:rsidP="000B0936">
            <w:pPr>
              <w:ind w:leftChars="-18" w:left="-4" w:hangingChars="16" w:hanging="34"/>
              <w:jc w:val="center"/>
              <w:rPr>
                <w:b/>
                <w:color w:val="000000" w:themeColor="text1"/>
                <w:szCs w:val="21"/>
              </w:rPr>
            </w:pP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C2</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治疗过程</w:t>
            </w:r>
          </w:p>
          <w:p w:rsidR="001308CD" w:rsidRPr="00ED6A85" w:rsidRDefault="001308CD" w:rsidP="000B0936">
            <w:pPr>
              <w:ind w:leftChars="-16" w:left="-3" w:hangingChars="15" w:hanging="31"/>
              <w:jc w:val="center"/>
              <w:rPr>
                <w:color w:val="000000" w:themeColor="text1"/>
                <w:szCs w:val="21"/>
              </w:rPr>
            </w:pPr>
            <w:r w:rsidRPr="00C6602E">
              <w:rPr>
                <w:rFonts w:hint="eastAsia"/>
                <w:color w:val="000000" w:themeColor="text1"/>
                <w:szCs w:val="21"/>
              </w:rPr>
              <w:t>跟踪和评估</w:t>
            </w:r>
          </w:p>
        </w:tc>
        <w:tc>
          <w:tcPr>
            <w:tcW w:w="5259" w:type="dxa"/>
          </w:tcPr>
          <w:p w:rsidR="001308CD" w:rsidRPr="00ED6A85" w:rsidRDefault="001308CD" w:rsidP="000B0936">
            <w:pPr>
              <w:ind w:leftChars="-16" w:left="-3" w:hangingChars="15" w:hanging="31"/>
              <w:rPr>
                <w:color w:val="000000" w:themeColor="text1"/>
                <w:szCs w:val="21"/>
              </w:rPr>
            </w:pPr>
            <w:r w:rsidRPr="00C6602E">
              <w:rPr>
                <w:rFonts w:hint="eastAsia"/>
                <w:color w:val="000000" w:themeColor="text1"/>
                <w:szCs w:val="21"/>
              </w:rPr>
              <w:t>治疗过程中，乙方医生实行</w:t>
            </w:r>
            <w:r w:rsidRPr="00C6602E">
              <w:rPr>
                <w:color w:val="000000" w:themeColor="text1"/>
                <w:szCs w:val="21"/>
              </w:rPr>
              <w:t>7×24</w:t>
            </w:r>
            <w:r w:rsidRPr="00C6602E">
              <w:rPr>
                <w:rFonts w:hint="eastAsia"/>
                <w:color w:val="000000" w:themeColor="text1"/>
                <w:szCs w:val="21"/>
              </w:rPr>
              <w:t>小时负责制，并与服务对象的主治医师直接沟通保险责任、病情、治疗及费用，并向服务对象或其家属及时通报垫付结果。</w:t>
            </w:r>
          </w:p>
        </w:tc>
      </w:tr>
      <w:tr w:rsidR="001308CD" w:rsidRPr="00ED6A85" w:rsidTr="000B0936">
        <w:trPr>
          <w:trHeight w:val="824"/>
          <w:jc w:val="center"/>
        </w:trPr>
        <w:tc>
          <w:tcPr>
            <w:tcW w:w="1099" w:type="dxa"/>
            <w:vMerge/>
            <w:vAlign w:val="center"/>
          </w:tcPr>
          <w:p w:rsidR="001308CD" w:rsidRPr="00ED6A85" w:rsidRDefault="001308CD" w:rsidP="000B0936">
            <w:pPr>
              <w:ind w:leftChars="-18" w:left="-4" w:hangingChars="16" w:hanging="34"/>
              <w:jc w:val="center"/>
              <w:rPr>
                <w:b/>
                <w:color w:val="000000" w:themeColor="text1"/>
                <w:szCs w:val="21"/>
              </w:rPr>
            </w:pPr>
          </w:p>
        </w:tc>
        <w:tc>
          <w:tcPr>
            <w:tcW w:w="667" w:type="dxa"/>
            <w:vAlign w:val="center"/>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C3</w:t>
            </w:r>
          </w:p>
        </w:tc>
        <w:tc>
          <w:tcPr>
            <w:tcW w:w="1881" w:type="dxa"/>
            <w:vAlign w:val="center"/>
          </w:tcPr>
          <w:p w:rsidR="001308CD" w:rsidRPr="00ED6A85" w:rsidRDefault="001308CD" w:rsidP="000B0936">
            <w:pPr>
              <w:ind w:leftChars="-16" w:left="-3" w:hangingChars="15" w:hanging="31"/>
              <w:jc w:val="center"/>
              <w:rPr>
                <w:color w:val="000000" w:themeColor="text1"/>
                <w:szCs w:val="21"/>
              </w:rPr>
            </w:pPr>
            <w:r w:rsidRPr="00C6602E">
              <w:rPr>
                <w:rFonts w:hAnsi="Arial" w:hint="eastAsia"/>
                <w:color w:val="000000" w:themeColor="text1"/>
                <w:szCs w:val="21"/>
              </w:rPr>
              <w:t>住院费用结算</w:t>
            </w:r>
          </w:p>
          <w:p w:rsidR="001308CD" w:rsidRPr="00ED6A85" w:rsidRDefault="001308CD" w:rsidP="000B0936">
            <w:pPr>
              <w:ind w:leftChars="-16" w:left="-3" w:hangingChars="15" w:hanging="31"/>
              <w:jc w:val="center"/>
              <w:rPr>
                <w:color w:val="000000" w:themeColor="text1"/>
                <w:szCs w:val="21"/>
              </w:rPr>
            </w:pPr>
            <w:r w:rsidRPr="00C6602E">
              <w:rPr>
                <w:rFonts w:hAnsi="Arial" w:hint="eastAsia"/>
                <w:color w:val="000000" w:themeColor="text1"/>
                <w:szCs w:val="21"/>
              </w:rPr>
              <w:t>和代为理赔</w:t>
            </w:r>
          </w:p>
        </w:tc>
        <w:tc>
          <w:tcPr>
            <w:tcW w:w="5259" w:type="dxa"/>
          </w:tcPr>
          <w:p w:rsidR="001308CD" w:rsidRPr="00ED6A85" w:rsidRDefault="001308CD" w:rsidP="000B0936">
            <w:pPr>
              <w:rPr>
                <w:color w:val="000000" w:themeColor="text1"/>
                <w:szCs w:val="21"/>
              </w:rPr>
            </w:pPr>
            <w:r w:rsidRPr="00C6602E">
              <w:rPr>
                <w:rFonts w:hint="eastAsia"/>
                <w:color w:val="000000" w:themeColor="text1"/>
                <w:szCs w:val="21"/>
              </w:rPr>
              <w:t>协助服务对象办理出院结算，与医院结清担保或垫付的医疗费用，搜集理赔文件，经审核代服务对象与保险公司进行理赔及理赔结果解释。</w:t>
            </w:r>
          </w:p>
        </w:tc>
      </w:tr>
      <w:tr w:rsidR="001308CD" w:rsidRPr="00ED6A85" w:rsidTr="000B0936">
        <w:trPr>
          <w:trHeight w:val="659"/>
          <w:jc w:val="center"/>
        </w:trPr>
        <w:tc>
          <w:tcPr>
            <w:tcW w:w="1099" w:type="dxa"/>
            <w:vAlign w:val="center"/>
          </w:tcPr>
          <w:p w:rsidR="001308CD" w:rsidRPr="00ED6A85" w:rsidRDefault="001308CD" w:rsidP="000B0936">
            <w:pPr>
              <w:ind w:leftChars="-18" w:left="-4" w:hangingChars="16" w:hanging="34"/>
              <w:jc w:val="center"/>
              <w:rPr>
                <w:b/>
                <w:color w:val="000000" w:themeColor="text1"/>
                <w:szCs w:val="21"/>
              </w:rPr>
            </w:pPr>
            <w:r w:rsidRPr="00C6602E">
              <w:rPr>
                <w:rFonts w:hint="eastAsia"/>
                <w:b/>
                <w:color w:val="000000" w:themeColor="text1"/>
                <w:szCs w:val="21"/>
              </w:rPr>
              <w:t>组合</w:t>
            </w:r>
          </w:p>
        </w:tc>
        <w:tc>
          <w:tcPr>
            <w:tcW w:w="2548" w:type="dxa"/>
            <w:gridSpan w:val="2"/>
          </w:tcPr>
          <w:p w:rsidR="001308CD" w:rsidRPr="00ED6A85" w:rsidRDefault="001308CD" w:rsidP="000B0936">
            <w:pPr>
              <w:ind w:leftChars="-16" w:left="-2" w:hangingChars="15" w:hanging="32"/>
              <w:jc w:val="center"/>
              <w:rPr>
                <w:b/>
                <w:color w:val="000000" w:themeColor="text1"/>
                <w:szCs w:val="21"/>
              </w:rPr>
            </w:pPr>
            <w:r w:rsidRPr="00C6602E">
              <w:rPr>
                <w:b/>
                <w:color w:val="000000" w:themeColor="text1"/>
                <w:szCs w:val="21"/>
              </w:rPr>
              <w:t>A+B+C</w:t>
            </w:r>
          </w:p>
        </w:tc>
        <w:tc>
          <w:tcPr>
            <w:tcW w:w="5259" w:type="dxa"/>
            <w:vAlign w:val="center"/>
          </w:tcPr>
          <w:p w:rsidR="001308CD" w:rsidRPr="00ED6A85" w:rsidRDefault="001308CD" w:rsidP="000B0936">
            <w:pPr>
              <w:ind w:leftChars="-16" w:left="-2" w:hangingChars="15" w:hanging="32"/>
              <w:rPr>
                <w:b/>
                <w:color w:val="000000" w:themeColor="text1"/>
                <w:szCs w:val="21"/>
              </w:rPr>
            </w:pPr>
            <w:r w:rsidRPr="00C6602E">
              <w:rPr>
                <w:rFonts w:hint="eastAsia"/>
                <w:b/>
                <w:color w:val="000000" w:themeColor="text1"/>
                <w:szCs w:val="21"/>
              </w:rPr>
              <w:t>九大项救援服务</w:t>
            </w:r>
          </w:p>
        </w:tc>
      </w:tr>
    </w:tbl>
    <w:p w:rsidR="00A25E31" w:rsidRDefault="001308CD">
      <w:r w:rsidRPr="00C6602E">
        <w:rPr>
          <w:rFonts w:hint="eastAsia"/>
          <w:color w:val="000000" w:themeColor="text1"/>
          <w:szCs w:val="21"/>
        </w:rPr>
        <w:t>注：上述服务内容均不包含门、急诊医疗担保及垫付</w:t>
      </w:r>
    </w:p>
    <w:sectPr w:rsidR="00A25E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2C" w:rsidRDefault="00BE0F2C" w:rsidP="001308CD">
      <w:r>
        <w:separator/>
      </w:r>
    </w:p>
  </w:endnote>
  <w:endnote w:type="continuationSeparator" w:id="0">
    <w:p w:rsidR="00BE0F2C" w:rsidRDefault="00BE0F2C" w:rsidP="0013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2C" w:rsidRDefault="00BE0F2C" w:rsidP="001308CD">
      <w:r>
        <w:separator/>
      </w:r>
    </w:p>
  </w:footnote>
  <w:footnote w:type="continuationSeparator" w:id="0">
    <w:p w:rsidR="00BE0F2C" w:rsidRDefault="00BE0F2C" w:rsidP="00130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22A4"/>
    <w:multiLevelType w:val="multilevel"/>
    <w:tmpl w:val="D744FCF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E1"/>
    <w:rsid w:val="001308CD"/>
    <w:rsid w:val="005C16E1"/>
    <w:rsid w:val="00A25E31"/>
    <w:rsid w:val="00BE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8CD"/>
    <w:rPr>
      <w:sz w:val="18"/>
      <w:szCs w:val="18"/>
    </w:rPr>
  </w:style>
  <w:style w:type="paragraph" w:styleId="a4">
    <w:name w:val="footer"/>
    <w:basedOn w:val="a"/>
    <w:link w:val="Char0"/>
    <w:uiPriority w:val="99"/>
    <w:unhideWhenUsed/>
    <w:rsid w:val="001308CD"/>
    <w:pPr>
      <w:tabs>
        <w:tab w:val="center" w:pos="4153"/>
        <w:tab w:val="right" w:pos="8306"/>
      </w:tabs>
      <w:snapToGrid w:val="0"/>
      <w:jc w:val="left"/>
    </w:pPr>
    <w:rPr>
      <w:sz w:val="18"/>
      <w:szCs w:val="18"/>
    </w:rPr>
  </w:style>
  <w:style w:type="character" w:customStyle="1" w:styleId="Char0">
    <w:name w:val="页脚 Char"/>
    <w:basedOn w:val="a0"/>
    <w:link w:val="a4"/>
    <w:uiPriority w:val="99"/>
    <w:rsid w:val="001308CD"/>
    <w:rPr>
      <w:sz w:val="18"/>
      <w:szCs w:val="18"/>
    </w:rPr>
  </w:style>
  <w:style w:type="paragraph" w:styleId="a5">
    <w:name w:val="List Paragraph"/>
    <w:basedOn w:val="a"/>
    <w:link w:val="Char1"/>
    <w:uiPriority w:val="34"/>
    <w:qFormat/>
    <w:rsid w:val="001308CD"/>
    <w:pPr>
      <w:spacing w:beforeLines="150" w:line="280" w:lineRule="exact"/>
      <w:ind w:left="425" w:firstLineChars="200" w:firstLine="420"/>
    </w:pPr>
    <w:rPr>
      <w:rFonts w:ascii="Calibri" w:hAnsi="Calibri"/>
      <w:szCs w:val="22"/>
    </w:rPr>
  </w:style>
  <w:style w:type="character" w:customStyle="1" w:styleId="Char1">
    <w:name w:val="列出段落 Char"/>
    <w:basedOn w:val="a0"/>
    <w:link w:val="a5"/>
    <w:uiPriority w:val="34"/>
    <w:rsid w:val="001308CD"/>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C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08CD"/>
    <w:rPr>
      <w:sz w:val="18"/>
      <w:szCs w:val="18"/>
    </w:rPr>
  </w:style>
  <w:style w:type="paragraph" w:styleId="a4">
    <w:name w:val="footer"/>
    <w:basedOn w:val="a"/>
    <w:link w:val="Char0"/>
    <w:uiPriority w:val="99"/>
    <w:unhideWhenUsed/>
    <w:rsid w:val="001308CD"/>
    <w:pPr>
      <w:tabs>
        <w:tab w:val="center" w:pos="4153"/>
        <w:tab w:val="right" w:pos="8306"/>
      </w:tabs>
      <w:snapToGrid w:val="0"/>
      <w:jc w:val="left"/>
    </w:pPr>
    <w:rPr>
      <w:sz w:val="18"/>
      <w:szCs w:val="18"/>
    </w:rPr>
  </w:style>
  <w:style w:type="character" w:customStyle="1" w:styleId="Char0">
    <w:name w:val="页脚 Char"/>
    <w:basedOn w:val="a0"/>
    <w:link w:val="a4"/>
    <w:uiPriority w:val="99"/>
    <w:rsid w:val="001308CD"/>
    <w:rPr>
      <w:sz w:val="18"/>
      <w:szCs w:val="18"/>
    </w:rPr>
  </w:style>
  <w:style w:type="paragraph" w:styleId="a5">
    <w:name w:val="List Paragraph"/>
    <w:basedOn w:val="a"/>
    <w:link w:val="Char1"/>
    <w:uiPriority w:val="34"/>
    <w:qFormat/>
    <w:rsid w:val="001308CD"/>
    <w:pPr>
      <w:spacing w:beforeLines="150" w:line="280" w:lineRule="exact"/>
      <w:ind w:left="425" w:firstLineChars="200" w:firstLine="420"/>
    </w:pPr>
    <w:rPr>
      <w:rFonts w:ascii="Calibri" w:hAnsi="Calibri"/>
      <w:szCs w:val="22"/>
    </w:rPr>
  </w:style>
  <w:style w:type="character" w:customStyle="1" w:styleId="Char1">
    <w:name w:val="列出段落 Char"/>
    <w:basedOn w:val="a0"/>
    <w:link w:val="a5"/>
    <w:uiPriority w:val="34"/>
    <w:rsid w:val="001308C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Company>中国平安保险(集团)股份有限公司</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2017-02-07T01:37:00Z</dcterms:created>
  <dcterms:modified xsi:type="dcterms:W3CDTF">2017-02-07T01:37:00Z</dcterms:modified>
</cp:coreProperties>
</file>