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B2" w:rsidRPr="00170071" w:rsidRDefault="00843CB2" w:rsidP="00843CB2">
      <w:pPr>
        <w:pStyle w:val="a5"/>
        <w:spacing w:line="340" w:lineRule="exact"/>
        <w:ind w:leftChars="43" w:left="90" w:firstLineChars="0" w:firstLine="0"/>
        <w:rPr>
          <w:rFonts w:ascii="黑体" w:eastAsia="黑体" w:hAnsi="黑体" w:hint="eastAsia"/>
          <w:color w:val="000000"/>
          <w:sz w:val="24"/>
        </w:rPr>
      </w:pPr>
      <w:r w:rsidRPr="00170071">
        <w:rPr>
          <w:rFonts w:ascii="黑体" w:eastAsia="黑体" w:hAnsi="黑体" w:hint="eastAsia"/>
          <w:b/>
          <w:color w:val="000000"/>
          <w:szCs w:val="21"/>
        </w:rPr>
        <w:t>意外住院紧急救援垫付服务</w:t>
      </w:r>
    </w:p>
    <w:p w:rsidR="00843CB2" w:rsidRPr="00170071" w:rsidRDefault="00843CB2" w:rsidP="00843CB2">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服务内容</w:t>
      </w: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843"/>
        <w:gridCol w:w="5375"/>
        <w:gridCol w:w="1988"/>
      </w:tblGrid>
      <w:tr w:rsidR="00843CB2" w:rsidRPr="00170071" w:rsidTr="0006411E">
        <w:trPr>
          <w:cantSplit/>
          <w:trHeight w:val="653"/>
          <w:jc w:val="center"/>
        </w:trPr>
        <w:tc>
          <w:tcPr>
            <w:tcW w:w="640" w:type="dxa"/>
            <w:vAlign w:val="center"/>
          </w:tcPr>
          <w:p w:rsidR="00843CB2" w:rsidRPr="00170071" w:rsidRDefault="00843CB2" w:rsidP="0006411E">
            <w:pPr>
              <w:jc w:val="center"/>
              <w:rPr>
                <w:rFonts w:ascii="黑体" w:eastAsia="黑体" w:hAnsi="黑体"/>
                <w:b/>
                <w:bCs/>
              </w:rPr>
            </w:pPr>
            <w:r w:rsidRPr="00170071">
              <w:rPr>
                <w:rFonts w:ascii="黑体" w:eastAsia="黑体" w:hAnsi="黑体" w:cs="黑体" w:hint="eastAsia"/>
                <w:b/>
                <w:bCs/>
              </w:rPr>
              <w:t>编号</w:t>
            </w:r>
          </w:p>
        </w:tc>
        <w:tc>
          <w:tcPr>
            <w:tcW w:w="1843" w:type="dxa"/>
            <w:vAlign w:val="center"/>
          </w:tcPr>
          <w:p w:rsidR="00843CB2" w:rsidRPr="00170071" w:rsidRDefault="00843CB2" w:rsidP="0006411E">
            <w:pPr>
              <w:jc w:val="center"/>
              <w:rPr>
                <w:rFonts w:ascii="黑体" w:eastAsia="黑体" w:hAnsi="黑体"/>
                <w:b/>
                <w:bCs/>
              </w:rPr>
            </w:pPr>
            <w:r w:rsidRPr="00170071">
              <w:rPr>
                <w:rFonts w:ascii="黑体" w:eastAsia="黑体" w:hAnsi="黑体" w:cs="黑体" w:hint="eastAsia"/>
                <w:b/>
                <w:bCs/>
              </w:rPr>
              <w:t>服务细项</w:t>
            </w:r>
          </w:p>
        </w:tc>
        <w:tc>
          <w:tcPr>
            <w:tcW w:w="5375" w:type="dxa"/>
            <w:vAlign w:val="center"/>
          </w:tcPr>
          <w:p w:rsidR="00843CB2" w:rsidRPr="00170071" w:rsidRDefault="00843CB2" w:rsidP="0006411E">
            <w:pPr>
              <w:jc w:val="center"/>
              <w:rPr>
                <w:rFonts w:ascii="黑体" w:eastAsia="黑体" w:hAnsi="黑体"/>
                <w:b/>
                <w:bCs/>
              </w:rPr>
            </w:pPr>
            <w:r w:rsidRPr="00170071">
              <w:rPr>
                <w:rFonts w:ascii="黑体" w:eastAsia="黑体" w:hAnsi="黑体" w:cs="黑体" w:hint="eastAsia"/>
                <w:b/>
                <w:bCs/>
              </w:rPr>
              <w:t>项目说明</w:t>
            </w:r>
          </w:p>
        </w:tc>
        <w:tc>
          <w:tcPr>
            <w:tcW w:w="1988" w:type="dxa"/>
            <w:vAlign w:val="center"/>
          </w:tcPr>
          <w:p w:rsidR="00843CB2" w:rsidRPr="00170071" w:rsidRDefault="00843CB2" w:rsidP="0006411E">
            <w:pPr>
              <w:jc w:val="center"/>
              <w:rPr>
                <w:rFonts w:ascii="黑体" w:eastAsia="黑体" w:hAnsi="黑体"/>
                <w:b/>
                <w:bCs/>
              </w:rPr>
            </w:pPr>
            <w:r w:rsidRPr="00170071">
              <w:rPr>
                <w:rFonts w:ascii="黑体" w:eastAsia="黑体" w:hAnsi="黑体" w:cs="黑体" w:hint="eastAsia"/>
                <w:b/>
                <w:bCs/>
              </w:rPr>
              <w:t>备注</w:t>
            </w:r>
          </w:p>
        </w:tc>
      </w:tr>
      <w:tr w:rsidR="00843CB2" w:rsidRPr="00170071" w:rsidTr="0006411E">
        <w:trPr>
          <w:cantSplit/>
          <w:trHeight w:val="653"/>
          <w:jc w:val="center"/>
        </w:trPr>
        <w:tc>
          <w:tcPr>
            <w:tcW w:w="640" w:type="dxa"/>
            <w:vAlign w:val="center"/>
          </w:tcPr>
          <w:p w:rsidR="00843CB2" w:rsidRPr="00170071" w:rsidRDefault="00843CB2" w:rsidP="0006411E">
            <w:pPr>
              <w:jc w:val="center"/>
              <w:rPr>
                <w:rFonts w:ascii="黑体" w:eastAsia="黑体" w:hAnsi="黑体" w:cs="黑体" w:hint="eastAsia"/>
                <w:b/>
                <w:bCs/>
              </w:rPr>
            </w:pPr>
            <w:r w:rsidRPr="00170071">
              <w:rPr>
                <w:rFonts w:ascii="黑体" w:eastAsia="黑体" w:hAnsi="黑体" w:cs="黑体" w:hint="eastAsia"/>
                <w:b/>
                <w:bCs/>
              </w:rPr>
              <w:t>1</w:t>
            </w:r>
          </w:p>
        </w:tc>
        <w:tc>
          <w:tcPr>
            <w:tcW w:w="1843" w:type="dxa"/>
            <w:vAlign w:val="center"/>
          </w:tcPr>
          <w:p w:rsidR="00843CB2" w:rsidRPr="00170071" w:rsidRDefault="00843CB2" w:rsidP="0006411E">
            <w:pPr>
              <w:spacing w:line="340" w:lineRule="exact"/>
              <w:rPr>
                <w:rFonts w:ascii="黑体" w:eastAsia="黑体" w:hAnsi="黑体"/>
                <w:color w:val="000000"/>
                <w:szCs w:val="21"/>
              </w:rPr>
            </w:pPr>
            <w:r w:rsidRPr="00170071">
              <w:rPr>
                <w:rFonts w:ascii="黑体" w:eastAsia="黑体" w:hAnsi="黑体" w:cs="宋体"/>
                <w:color w:val="000000"/>
                <w:szCs w:val="21"/>
              </w:rPr>
              <w:t>24</w:t>
            </w:r>
            <w:r w:rsidRPr="00170071">
              <w:rPr>
                <w:rFonts w:ascii="黑体" w:eastAsia="黑体" w:hAnsi="黑体" w:cs="宋体" w:hint="eastAsia"/>
                <w:color w:val="000000"/>
                <w:szCs w:val="21"/>
              </w:rPr>
              <w:t>小时应急响应</w:t>
            </w:r>
          </w:p>
        </w:tc>
        <w:tc>
          <w:tcPr>
            <w:tcW w:w="5375" w:type="dxa"/>
            <w:vAlign w:val="center"/>
          </w:tcPr>
          <w:p w:rsidR="00843CB2" w:rsidRPr="00170071" w:rsidRDefault="00843CB2" w:rsidP="0006411E">
            <w:pPr>
              <w:spacing w:line="340" w:lineRule="exact"/>
              <w:ind w:leftChars="-25" w:left="-53"/>
              <w:rPr>
                <w:rFonts w:ascii="黑体" w:eastAsia="黑体" w:hAnsi="黑体"/>
                <w:color w:val="000000"/>
                <w:szCs w:val="21"/>
              </w:rPr>
            </w:pPr>
            <w:r w:rsidRPr="00170071">
              <w:rPr>
                <w:rFonts w:ascii="黑体" w:eastAsia="黑体" w:hAnsi="黑体" w:cs="宋体" w:hint="eastAsia"/>
                <w:color w:val="000000"/>
                <w:szCs w:val="21"/>
              </w:rPr>
              <w:t>专业医护人员</w:t>
            </w:r>
            <w:r w:rsidRPr="00170071">
              <w:rPr>
                <w:rFonts w:ascii="黑体" w:eastAsia="黑体" w:hAnsi="黑体" w:cs="宋体"/>
                <w:color w:val="000000"/>
                <w:szCs w:val="21"/>
              </w:rPr>
              <w:t>24</w:t>
            </w:r>
            <w:r w:rsidRPr="00170071">
              <w:rPr>
                <w:rFonts w:ascii="黑体" w:eastAsia="黑体" w:hAnsi="黑体" w:cs="宋体" w:hint="eastAsia"/>
                <w:color w:val="000000"/>
                <w:szCs w:val="21"/>
              </w:rPr>
              <w:t>小时中、英双语提供应急帮助。</w:t>
            </w:r>
          </w:p>
        </w:tc>
        <w:tc>
          <w:tcPr>
            <w:tcW w:w="1988" w:type="dxa"/>
            <w:vAlign w:val="center"/>
          </w:tcPr>
          <w:p w:rsidR="00843CB2" w:rsidRPr="00170071" w:rsidRDefault="00843CB2" w:rsidP="0006411E">
            <w:pPr>
              <w:spacing w:line="340" w:lineRule="exact"/>
              <w:ind w:leftChars="-25" w:left="-53"/>
              <w:rPr>
                <w:rFonts w:ascii="黑体" w:eastAsia="黑体" w:hAnsi="黑体" w:cs="宋体"/>
                <w:color w:val="000000"/>
                <w:szCs w:val="21"/>
              </w:rPr>
            </w:pPr>
            <w:r w:rsidRPr="00170071">
              <w:rPr>
                <w:rFonts w:ascii="黑体" w:eastAsia="黑体" w:hAnsi="黑体" w:cs="宋体" w:hint="eastAsia"/>
                <w:color w:val="000000"/>
                <w:szCs w:val="21"/>
              </w:rPr>
              <w:t>7x24小时，365天全年无休</w:t>
            </w:r>
          </w:p>
        </w:tc>
      </w:tr>
      <w:tr w:rsidR="00843CB2" w:rsidRPr="00170071" w:rsidTr="0006411E">
        <w:trPr>
          <w:jc w:val="center"/>
        </w:trPr>
        <w:tc>
          <w:tcPr>
            <w:tcW w:w="640" w:type="dxa"/>
            <w:vAlign w:val="center"/>
          </w:tcPr>
          <w:p w:rsidR="00843CB2" w:rsidRPr="00170071" w:rsidRDefault="00843CB2" w:rsidP="0006411E">
            <w:pPr>
              <w:jc w:val="center"/>
              <w:rPr>
                <w:rFonts w:ascii="黑体" w:eastAsia="黑体" w:hAnsi="黑体" w:cs="黑体"/>
              </w:rPr>
            </w:pPr>
            <w:r w:rsidRPr="00170071">
              <w:rPr>
                <w:rFonts w:ascii="黑体" w:eastAsia="黑体" w:hAnsi="黑体" w:cs="黑体" w:hint="eastAsia"/>
              </w:rPr>
              <w:t>2</w:t>
            </w:r>
          </w:p>
        </w:tc>
        <w:tc>
          <w:tcPr>
            <w:tcW w:w="1843" w:type="dxa"/>
            <w:vAlign w:val="center"/>
          </w:tcPr>
          <w:p w:rsidR="00843CB2" w:rsidRPr="00170071" w:rsidRDefault="00843CB2" w:rsidP="0006411E">
            <w:pPr>
              <w:rPr>
                <w:rFonts w:ascii="黑体" w:eastAsia="黑体" w:hAnsi="黑体" w:cs="黑体" w:hint="eastAsia"/>
              </w:rPr>
            </w:pPr>
            <w:r w:rsidRPr="00170071">
              <w:rPr>
                <w:rFonts w:ascii="黑体" w:eastAsia="黑体" w:hAnsi="黑体" w:cs="黑体" w:hint="eastAsia"/>
              </w:rPr>
              <w:t>协助家属联络及报案</w:t>
            </w:r>
          </w:p>
        </w:tc>
        <w:tc>
          <w:tcPr>
            <w:tcW w:w="5375" w:type="dxa"/>
            <w:vAlign w:val="center"/>
          </w:tcPr>
          <w:p w:rsidR="00843CB2" w:rsidRPr="00170071" w:rsidRDefault="00843CB2" w:rsidP="0006411E">
            <w:pPr>
              <w:ind w:leftChars="-25" w:left="-53"/>
              <w:rPr>
                <w:rFonts w:ascii="黑体" w:eastAsia="黑体" w:hAnsi="黑体" w:cs="黑体" w:hint="eastAsia"/>
              </w:rPr>
            </w:pPr>
            <w:r w:rsidRPr="00170071">
              <w:rPr>
                <w:rFonts w:ascii="黑体" w:eastAsia="黑体" w:hAnsi="黑体" w:cs="黑体" w:hint="eastAsia"/>
              </w:rPr>
              <w:t>根据事件状况和被保险人的要求，在第一时间协助被保险人向相关机构报案，并根据被保险人要求联络被保险人家属，跟进事件处理的进展；为家属提供基本医疗信息和心理支持。</w:t>
            </w:r>
          </w:p>
        </w:tc>
        <w:tc>
          <w:tcPr>
            <w:tcW w:w="1988" w:type="dxa"/>
            <w:vAlign w:val="center"/>
          </w:tcPr>
          <w:p w:rsidR="00843CB2" w:rsidRPr="00170071" w:rsidRDefault="00843CB2" w:rsidP="0006411E">
            <w:pPr>
              <w:ind w:leftChars="-25" w:left="-53"/>
              <w:rPr>
                <w:rFonts w:ascii="黑体" w:eastAsia="黑体" w:hAnsi="黑体" w:cs="黑体" w:hint="eastAsia"/>
              </w:rPr>
            </w:pPr>
          </w:p>
        </w:tc>
      </w:tr>
      <w:tr w:rsidR="00843CB2" w:rsidRPr="00170071" w:rsidTr="0006411E">
        <w:trPr>
          <w:jc w:val="center"/>
        </w:trPr>
        <w:tc>
          <w:tcPr>
            <w:tcW w:w="640" w:type="dxa"/>
            <w:vAlign w:val="center"/>
          </w:tcPr>
          <w:p w:rsidR="00843CB2" w:rsidRPr="00170071" w:rsidRDefault="00843CB2" w:rsidP="0006411E">
            <w:pPr>
              <w:jc w:val="center"/>
              <w:rPr>
                <w:rFonts w:ascii="黑体" w:eastAsia="黑体" w:hAnsi="黑体" w:cs="黑体" w:hint="eastAsia"/>
              </w:rPr>
            </w:pPr>
            <w:r w:rsidRPr="00170071">
              <w:rPr>
                <w:rFonts w:ascii="黑体" w:eastAsia="黑体" w:hAnsi="黑体" w:cs="黑体" w:hint="eastAsia"/>
              </w:rPr>
              <w:t>3</w:t>
            </w:r>
          </w:p>
        </w:tc>
        <w:tc>
          <w:tcPr>
            <w:tcW w:w="1843" w:type="dxa"/>
            <w:vAlign w:val="center"/>
          </w:tcPr>
          <w:p w:rsidR="00843CB2" w:rsidRPr="00170071" w:rsidRDefault="00843CB2" w:rsidP="0006411E">
            <w:pPr>
              <w:rPr>
                <w:rFonts w:ascii="黑体" w:eastAsia="黑体" w:hAnsi="黑体" w:cs="黑体" w:hint="eastAsia"/>
              </w:rPr>
            </w:pPr>
            <w:r w:rsidRPr="00170071">
              <w:rPr>
                <w:rFonts w:ascii="黑体" w:eastAsia="黑体" w:hAnsi="黑体" w:cs="黑体" w:hint="eastAsia"/>
              </w:rPr>
              <w:t>急救协助</w:t>
            </w:r>
          </w:p>
        </w:tc>
        <w:tc>
          <w:tcPr>
            <w:tcW w:w="5375" w:type="dxa"/>
            <w:vAlign w:val="center"/>
          </w:tcPr>
          <w:p w:rsidR="00843CB2" w:rsidRPr="00170071" w:rsidRDefault="00843CB2" w:rsidP="0006411E">
            <w:pPr>
              <w:ind w:leftChars="-25" w:left="-53"/>
              <w:rPr>
                <w:rFonts w:ascii="黑体" w:eastAsia="黑体" w:hAnsi="黑体" w:cs="黑体" w:hint="eastAsia"/>
              </w:rPr>
            </w:pPr>
            <w:r w:rsidRPr="00170071">
              <w:rPr>
                <w:rFonts w:ascii="黑体" w:eastAsia="黑体" w:hAnsi="黑体" w:cs="黑体" w:hint="eastAsia"/>
              </w:rPr>
              <w:t>协助安排急救车辆、推荐就近医院：救援机构协助会员安排急救车辆，向会员提供就近医院信息。</w:t>
            </w:r>
          </w:p>
        </w:tc>
        <w:tc>
          <w:tcPr>
            <w:tcW w:w="1988" w:type="dxa"/>
            <w:vAlign w:val="center"/>
          </w:tcPr>
          <w:p w:rsidR="00843CB2" w:rsidRPr="00170071" w:rsidRDefault="00843CB2" w:rsidP="0006411E">
            <w:pPr>
              <w:ind w:leftChars="-25" w:left="-53"/>
              <w:rPr>
                <w:rFonts w:ascii="黑体" w:eastAsia="黑体" w:hAnsi="黑体" w:cs="黑体" w:hint="eastAsia"/>
              </w:rPr>
            </w:pPr>
          </w:p>
        </w:tc>
      </w:tr>
      <w:tr w:rsidR="00843CB2" w:rsidRPr="00170071" w:rsidTr="0006411E">
        <w:trPr>
          <w:jc w:val="center"/>
        </w:trPr>
        <w:tc>
          <w:tcPr>
            <w:tcW w:w="640" w:type="dxa"/>
            <w:vAlign w:val="center"/>
          </w:tcPr>
          <w:p w:rsidR="00843CB2" w:rsidRPr="00170071" w:rsidRDefault="00843CB2" w:rsidP="0006411E">
            <w:pPr>
              <w:jc w:val="center"/>
              <w:rPr>
                <w:rFonts w:ascii="黑体" w:eastAsia="黑体" w:hAnsi="黑体" w:cs="黑体" w:hint="eastAsia"/>
              </w:rPr>
            </w:pPr>
            <w:r w:rsidRPr="00170071">
              <w:rPr>
                <w:rFonts w:ascii="黑体" w:eastAsia="黑体" w:hAnsi="黑体" w:cs="黑体" w:hint="eastAsia"/>
              </w:rPr>
              <w:t>4</w:t>
            </w:r>
          </w:p>
        </w:tc>
        <w:tc>
          <w:tcPr>
            <w:tcW w:w="1843" w:type="dxa"/>
            <w:vAlign w:val="center"/>
          </w:tcPr>
          <w:p w:rsidR="00843CB2" w:rsidRPr="00170071" w:rsidRDefault="00843CB2" w:rsidP="0006411E">
            <w:pPr>
              <w:spacing w:line="340" w:lineRule="exact"/>
              <w:rPr>
                <w:rFonts w:ascii="黑体" w:eastAsia="黑体" w:hAnsi="黑体"/>
                <w:color w:val="000000"/>
                <w:szCs w:val="21"/>
              </w:rPr>
            </w:pPr>
            <w:r w:rsidRPr="00170071">
              <w:rPr>
                <w:rFonts w:ascii="黑体" w:eastAsia="黑体" w:hAnsi="黑体" w:cs="宋体" w:hint="eastAsia"/>
                <w:color w:val="000000"/>
                <w:szCs w:val="21"/>
              </w:rPr>
              <w:t>应急建议</w:t>
            </w:r>
          </w:p>
        </w:tc>
        <w:tc>
          <w:tcPr>
            <w:tcW w:w="5375" w:type="dxa"/>
            <w:vAlign w:val="center"/>
          </w:tcPr>
          <w:p w:rsidR="00843CB2" w:rsidRPr="00170071" w:rsidRDefault="00843CB2" w:rsidP="0006411E">
            <w:pPr>
              <w:spacing w:line="340" w:lineRule="exact"/>
              <w:rPr>
                <w:rFonts w:ascii="黑体" w:eastAsia="黑体" w:hAnsi="黑体"/>
                <w:color w:val="000000"/>
                <w:szCs w:val="21"/>
              </w:rPr>
            </w:pPr>
            <w:r w:rsidRPr="00170071">
              <w:rPr>
                <w:rFonts w:ascii="黑体" w:eastAsia="黑体" w:hAnsi="黑体" w:cs="宋体" w:hint="eastAsia"/>
                <w:color w:val="000000"/>
                <w:szCs w:val="21"/>
              </w:rPr>
              <w:t>在被保险人告知真实情况并自愿承担风险的前提下，远盟将通过电话方式提供白金十分钟的“自救”或“互救”应急建议。</w:t>
            </w:r>
          </w:p>
        </w:tc>
        <w:tc>
          <w:tcPr>
            <w:tcW w:w="1988" w:type="dxa"/>
            <w:vAlign w:val="center"/>
          </w:tcPr>
          <w:p w:rsidR="00843CB2" w:rsidRPr="00170071" w:rsidRDefault="00843CB2" w:rsidP="0006411E">
            <w:pPr>
              <w:spacing w:line="340" w:lineRule="exact"/>
              <w:rPr>
                <w:rFonts w:ascii="黑体" w:eastAsia="黑体" w:hAnsi="黑体" w:cs="宋体"/>
                <w:color w:val="000000"/>
                <w:szCs w:val="21"/>
              </w:rPr>
            </w:pPr>
            <w:r w:rsidRPr="00170071">
              <w:rPr>
                <w:rFonts w:ascii="黑体" w:eastAsia="黑体" w:hAnsi="黑体" w:cs="宋体" w:hint="eastAsia"/>
                <w:color w:val="000000"/>
                <w:szCs w:val="21"/>
              </w:rPr>
              <w:t>远盟提供建议供被保险人应急参考</w:t>
            </w:r>
          </w:p>
        </w:tc>
      </w:tr>
      <w:tr w:rsidR="00843CB2" w:rsidRPr="00170071" w:rsidTr="0006411E">
        <w:trPr>
          <w:jc w:val="center"/>
        </w:trPr>
        <w:tc>
          <w:tcPr>
            <w:tcW w:w="640" w:type="dxa"/>
            <w:vAlign w:val="center"/>
          </w:tcPr>
          <w:p w:rsidR="00843CB2" w:rsidRPr="00170071" w:rsidRDefault="00843CB2" w:rsidP="0006411E">
            <w:pPr>
              <w:jc w:val="center"/>
              <w:rPr>
                <w:rFonts w:ascii="黑体" w:eastAsia="黑体" w:hAnsi="黑体" w:cs="黑体" w:hint="eastAsia"/>
              </w:rPr>
            </w:pPr>
            <w:r w:rsidRPr="00170071">
              <w:rPr>
                <w:rFonts w:ascii="黑体" w:eastAsia="黑体" w:hAnsi="黑体" w:cs="黑体" w:hint="eastAsia"/>
              </w:rPr>
              <w:t>5</w:t>
            </w:r>
          </w:p>
        </w:tc>
        <w:tc>
          <w:tcPr>
            <w:tcW w:w="1843"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医院推介</w:t>
            </w:r>
          </w:p>
        </w:tc>
        <w:tc>
          <w:tcPr>
            <w:tcW w:w="5375" w:type="dxa"/>
            <w:vAlign w:val="center"/>
          </w:tcPr>
          <w:p w:rsidR="00843CB2" w:rsidRPr="00170071" w:rsidRDefault="00843CB2" w:rsidP="0006411E">
            <w:pPr>
              <w:ind w:leftChars="-25" w:left="-53"/>
              <w:rPr>
                <w:rFonts w:ascii="黑体" w:eastAsia="黑体" w:hAnsi="黑体" w:cs="黑体"/>
                <w:sz w:val="18"/>
                <w:szCs w:val="18"/>
              </w:rPr>
            </w:pPr>
            <w:r w:rsidRPr="00170071">
              <w:rPr>
                <w:rFonts w:ascii="黑体" w:eastAsia="黑体" w:hAnsi="黑体" w:cs="黑体" w:hint="eastAsia"/>
              </w:rPr>
              <w:t>远盟向会员推介实施急救的医疗医院，最终由会员自主决定。</w:t>
            </w:r>
            <w:r w:rsidRPr="00170071">
              <w:rPr>
                <w:rFonts w:ascii="黑体" w:eastAsia="黑体" w:hAnsi="黑体" w:cs="黑体"/>
              </w:rPr>
              <w:t xml:space="preserve"> </w:t>
            </w:r>
          </w:p>
        </w:tc>
        <w:tc>
          <w:tcPr>
            <w:tcW w:w="1988" w:type="dxa"/>
            <w:vAlign w:val="center"/>
          </w:tcPr>
          <w:p w:rsidR="00843CB2" w:rsidRPr="00170071" w:rsidRDefault="00843CB2" w:rsidP="0006411E">
            <w:pPr>
              <w:ind w:leftChars="-25" w:left="-53"/>
              <w:rPr>
                <w:rFonts w:ascii="黑体" w:eastAsia="黑体" w:hAnsi="黑体"/>
                <w:sz w:val="18"/>
                <w:szCs w:val="18"/>
              </w:rPr>
            </w:pPr>
            <w:r w:rsidRPr="00170071">
              <w:rPr>
                <w:rFonts w:ascii="黑体" w:eastAsia="黑体" w:hAnsi="黑体" w:cs="黑体" w:hint="eastAsia"/>
              </w:rPr>
              <w:t>推介原则：就急、就近、就病情、就意愿。</w:t>
            </w:r>
          </w:p>
        </w:tc>
      </w:tr>
      <w:tr w:rsidR="00843CB2" w:rsidRPr="00170071" w:rsidTr="0006411E">
        <w:trPr>
          <w:jc w:val="center"/>
        </w:trPr>
        <w:tc>
          <w:tcPr>
            <w:tcW w:w="640" w:type="dxa"/>
            <w:vAlign w:val="center"/>
          </w:tcPr>
          <w:p w:rsidR="00843CB2" w:rsidRPr="00170071" w:rsidRDefault="00843CB2" w:rsidP="0006411E">
            <w:pPr>
              <w:jc w:val="center"/>
              <w:rPr>
                <w:rFonts w:ascii="黑体" w:eastAsia="黑体" w:hAnsi="黑体"/>
              </w:rPr>
            </w:pPr>
            <w:r w:rsidRPr="00170071">
              <w:rPr>
                <w:rFonts w:ascii="黑体" w:eastAsia="黑体" w:hAnsi="黑体" w:cs="黑体" w:hint="eastAsia"/>
              </w:rPr>
              <w:t>6</w:t>
            </w:r>
          </w:p>
        </w:tc>
        <w:tc>
          <w:tcPr>
            <w:tcW w:w="1843"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住院指导</w:t>
            </w:r>
          </w:p>
        </w:tc>
        <w:tc>
          <w:tcPr>
            <w:tcW w:w="5375" w:type="dxa"/>
            <w:vAlign w:val="center"/>
          </w:tcPr>
          <w:p w:rsidR="00843CB2" w:rsidRPr="00170071" w:rsidRDefault="00843CB2" w:rsidP="0006411E">
            <w:pPr>
              <w:ind w:leftChars="-25" w:left="-53"/>
              <w:rPr>
                <w:rFonts w:ascii="黑体" w:eastAsia="黑体" w:hAnsi="黑体"/>
                <w:sz w:val="18"/>
                <w:szCs w:val="18"/>
              </w:rPr>
            </w:pPr>
            <w:r w:rsidRPr="00170071">
              <w:rPr>
                <w:rFonts w:ascii="黑体" w:eastAsia="黑体" w:hAnsi="黑体" w:cs="黑体"/>
              </w:rPr>
              <w:t>1.</w:t>
            </w:r>
            <w:r w:rsidRPr="00170071">
              <w:rPr>
                <w:rFonts w:ascii="黑体" w:eastAsia="黑体" w:hAnsi="黑体" w:cs="黑体" w:hint="eastAsia"/>
              </w:rPr>
              <w:t>指导办理住院手续；</w:t>
            </w:r>
          </w:p>
          <w:p w:rsidR="00843CB2" w:rsidRPr="00170071" w:rsidRDefault="00843CB2" w:rsidP="0006411E">
            <w:pPr>
              <w:ind w:leftChars="-25" w:left="-53"/>
              <w:rPr>
                <w:rFonts w:ascii="黑体" w:eastAsia="黑体" w:hAnsi="黑体"/>
                <w:sz w:val="18"/>
                <w:szCs w:val="18"/>
              </w:rPr>
            </w:pPr>
            <w:r w:rsidRPr="00170071">
              <w:rPr>
                <w:rFonts w:ascii="黑体" w:eastAsia="黑体" w:hAnsi="黑体" w:cs="黑体"/>
              </w:rPr>
              <w:t>2.</w:t>
            </w:r>
            <w:r w:rsidRPr="00170071">
              <w:rPr>
                <w:rFonts w:ascii="黑体" w:eastAsia="黑体" w:hAnsi="黑体" w:cs="黑体" w:hint="eastAsia"/>
              </w:rPr>
              <w:t>提供住院注意事项咨询。</w:t>
            </w:r>
          </w:p>
        </w:tc>
        <w:tc>
          <w:tcPr>
            <w:tcW w:w="1988" w:type="dxa"/>
            <w:vAlign w:val="center"/>
          </w:tcPr>
          <w:p w:rsidR="00843CB2" w:rsidRPr="00170071" w:rsidRDefault="00843CB2" w:rsidP="0006411E">
            <w:pPr>
              <w:ind w:leftChars="-25" w:left="-53"/>
              <w:rPr>
                <w:rFonts w:ascii="黑体" w:eastAsia="黑体" w:hAnsi="黑体"/>
                <w:b/>
                <w:bCs/>
                <w:sz w:val="32"/>
                <w:szCs w:val="32"/>
              </w:rPr>
            </w:pPr>
          </w:p>
        </w:tc>
      </w:tr>
      <w:tr w:rsidR="00843CB2" w:rsidRPr="00170071" w:rsidTr="0006411E">
        <w:trPr>
          <w:cantSplit/>
          <w:trHeight w:val="1173"/>
          <w:jc w:val="center"/>
        </w:trPr>
        <w:tc>
          <w:tcPr>
            <w:tcW w:w="640" w:type="dxa"/>
            <w:vAlign w:val="center"/>
          </w:tcPr>
          <w:p w:rsidR="00843CB2" w:rsidRPr="00170071" w:rsidRDefault="00843CB2" w:rsidP="0006411E">
            <w:pPr>
              <w:jc w:val="center"/>
              <w:rPr>
                <w:rFonts w:ascii="黑体" w:eastAsia="黑体" w:hAnsi="黑体"/>
              </w:rPr>
            </w:pPr>
            <w:r w:rsidRPr="00170071">
              <w:rPr>
                <w:rFonts w:ascii="黑体" w:eastAsia="黑体" w:hAnsi="黑体" w:cs="黑体" w:hint="eastAsia"/>
              </w:rPr>
              <w:t>7</w:t>
            </w:r>
          </w:p>
        </w:tc>
        <w:tc>
          <w:tcPr>
            <w:tcW w:w="1843"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网络医院住院费用垫付</w:t>
            </w:r>
          </w:p>
        </w:tc>
        <w:tc>
          <w:tcPr>
            <w:tcW w:w="5375" w:type="dxa"/>
            <w:vAlign w:val="center"/>
          </w:tcPr>
          <w:p w:rsidR="00843CB2" w:rsidRPr="00170071" w:rsidRDefault="00843CB2" w:rsidP="0006411E">
            <w:pPr>
              <w:pStyle w:val="1"/>
              <w:ind w:firstLineChars="0" w:firstLine="0"/>
              <w:rPr>
                <w:rFonts w:ascii="黑体" w:eastAsia="黑体" w:hAnsi="黑体"/>
              </w:rPr>
            </w:pPr>
            <w:r w:rsidRPr="00170071">
              <w:rPr>
                <w:rFonts w:ascii="黑体" w:eastAsia="黑体" w:hAnsi="黑体" w:cs="黑体" w:hint="eastAsia"/>
              </w:rPr>
              <w:t>会员病情符合保险责任条款，并配合填写担保函，远盟可根据病情及保险责任约定根据会员伤病情的轻重程度分批垫付住院费用，垫付额度以保险条款规定或以双方约定。</w:t>
            </w:r>
          </w:p>
        </w:tc>
        <w:tc>
          <w:tcPr>
            <w:tcW w:w="1988"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此服务限在远盟网络医院内提供</w:t>
            </w:r>
          </w:p>
        </w:tc>
      </w:tr>
      <w:tr w:rsidR="00843CB2" w:rsidRPr="00170071" w:rsidTr="0006411E">
        <w:trPr>
          <w:cantSplit/>
          <w:trHeight w:val="946"/>
          <w:jc w:val="center"/>
        </w:trPr>
        <w:tc>
          <w:tcPr>
            <w:tcW w:w="640" w:type="dxa"/>
            <w:vAlign w:val="center"/>
          </w:tcPr>
          <w:p w:rsidR="00843CB2" w:rsidRPr="00170071" w:rsidRDefault="00843CB2" w:rsidP="0006411E">
            <w:pPr>
              <w:jc w:val="center"/>
              <w:rPr>
                <w:rFonts w:ascii="黑体" w:eastAsia="黑体" w:hAnsi="黑体"/>
              </w:rPr>
            </w:pPr>
            <w:r w:rsidRPr="00170071">
              <w:rPr>
                <w:rFonts w:ascii="黑体" w:eastAsia="黑体" w:hAnsi="黑体" w:cs="黑体" w:hint="eastAsia"/>
              </w:rPr>
              <w:t>8</w:t>
            </w:r>
          </w:p>
        </w:tc>
        <w:tc>
          <w:tcPr>
            <w:tcW w:w="1843"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病情跟踪</w:t>
            </w:r>
          </w:p>
        </w:tc>
        <w:tc>
          <w:tcPr>
            <w:tcW w:w="5375" w:type="dxa"/>
            <w:vAlign w:val="center"/>
          </w:tcPr>
          <w:p w:rsidR="00843CB2" w:rsidRPr="00170071" w:rsidRDefault="00843CB2" w:rsidP="0006411E">
            <w:pPr>
              <w:pStyle w:val="1"/>
              <w:ind w:firstLineChars="0" w:firstLine="0"/>
              <w:rPr>
                <w:rFonts w:ascii="黑体" w:eastAsia="黑体" w:hAnsi="黑体"/>
              </w:rPr>
            </w:pPr>
            <w:r w:rsidRPr="00170071">
              <w:rPr>
                <w:rFonts w:ascii="黑体" w:eastAsia="黑体" w:hAnsi="黑体" w:cs="黑体" w:hint="eastAsia"/>
              </w:rPr>
              <w:t>提供治疗方案评估、治疗进程跟踪、治疗费用监控、垫付费用追加、出院时间确定等服务</w:t>
            </w:r>
          </w:p>
        </w:tc>
        <w:tc>
          <w:tcPr>
            <w:tcW w:w="1988" w:type="dxa"/>
            <w:vMerge w:val="restart"/>
            <w:vAlign w:val="center"/>
          </w:tcPr>
          <w:p w:rsidR="00843CB2" w:rsidRPr="00170071" w:rsidRDefault="00843CB2" w:rsidP="0006411E">
            <w:pPr>
              <w:pStyle w:val="1"/>
              <w:ind w:firstLineChars="0" w:firstLine="0"/>
              <w:rPr>
                <w:rFonts w:ascii="黑体" w:eastAsia="黑体" w:hAnsi="黑体"/>
              </w:rPr>
            </w:pPr>
            <w:r w:rsidRPr="00170071">
              <w:rPr>
                <w:rFonts w:ascii="黑体" w:eastAsia="黑体" w:hAnsi="黑体" w:cs="黑体" w:hint="eastAsia"/>
              </w:rPr>
              <w:t>须获得会员授权才可进行此项服务，且遵循国家对个人隐私的相关法律、法规</w:t>
            </w:r>
          </w:p>
        </w:tc>
      </w:tr>
      <w:tr w:rsidR="00843CB2" w:rsidRPr="00170071" w:rsidTr="0006411E">
        <w:trPr>
          <w:cantSplit/>
          <w:trHeight w:val="946"/>
          <w:jc w:val="center"/>
        </w:trPr>
        <w:tc>
          <w:tcPr>
            <w:tcW w:w="640" w:type="dxa"/>
            <w:vAlign w:val="center"/>
          </w:tcPr>
          <w:p w:rsidR="00843CB2" w:rsidRPr="00170071" w:rsidRDefault="00843CB2" w:rsidP="0006411E">
            <w:pPr>
              <w:jc w:val="center"/>
              <w:rPr>
                <w:rFonts w:ascii="黑体" w:eastAsia="黑体" w:hAnsi="黑体"/>
              </w:rPr>
            </w:pPr>
            <w:r w:rsidRPr="00170071">
              <w:rPr>
                <w:rFonts w:ascii="黑体" w:eastAsia="黑体" w:hAnsi="黑体" w:cs="黑体" w:hint="eastAsia"/>
              </w:rPr>
              <w:t>9</w:t>
            </w:r>
          </w:p>
        </w:tc>
        <w:tc>
          <w:tcPr>
            <w:tcW w:w="1843"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医院报告解读</w:t>
            </w:r>
          </w:p>
        </w:tc>
        <w:tc>
          <w:tcPr>
            <w:tcW w:w="5375" w:type="dxa"/>
            <w:vAlign w:val="center"/>
          </w:tcPr>
          <w:p w:rsidR="00843CB2" w:rsidRPr="00170071" w:rsidRDefault="00843CB2" w:rsidP="0006411E">
            <w:pPr>
              <w:pStyle w:val="1"/>
              <w:ind w:firstLineChars="0" w:firstLine="0"/>
              <w:rPr>
                <w:rFonts w:ascii="黑体" w:eastAsia="黑体" w:hAnsi="黑体"/>
              </w:rPr>
            </w:pPr>
            <w:r w:rsidRPr="00170071">
              <w:rPr>
                <w:rFonts w:ascii="黑体" w:eastAsia="黑体" w:hAnsi="黑体" w:cs="黑体" w:hint="eastAsia"/>
              </w:rPr>
              <w:t>详细分析会员的病例、诊断结果、化验结果等相关报告，并为会员提供病情分析、医疗建议、康复建议等详尽内容</w:t>
            </w:r>
          </w:p>
        </w:tc>
        <w:tc>
          <w:tcPr>
            <w:tcW w:w="1988" w:type="dxa"/>
            <w:vMerge/>
            <w:tcBorders>
              <w:bottom w:val="single" w:sz="4" w:space="0" w:color="auto"/>
            </w:tcBorders>
            <w:vAlign w:val="center"/>
          </w:tcPr>
          <w:p w:rsidR="00843CB2" w:rsidRPr="00170071" w:rsidRDefault="00843CB2" w:rsidP="0006411E">
            <w:pPr>
              <w:pStyle w:val="1"/>
              <w:ind w:firstLineChars="0" w:firstLine="0"/>
              <w:rPr>
                <w:rFonts w:ascii="黑体" w:eastAsia="黑体" w:hAnsi="黑体"/>
              </w:rPr>
            </w:pPr>
          </w:p>
        </w:tc>
      </w:tr>
      <w:tr w:rsidR="00843CB2" w:rsidRPr="00170071" w:rsidTr="0006411E">
        <w:trPr>
          <w:cantSplit/>
          <w:trHeight w:val="946"/>
          <w:jc w:val="center"/>
        </w:trPr>
        <w:tc>
          <w:tcPr>
            <w:tcW w:w="640" w:type="dxa"/>
            <w:vAlign w:val="center"/>
          </w:tcPr>
          <w:p w:rsidR="00843CB2" w:rsidRPr="00170071" w:rsidRDefault="00843CB2" w:rsidP="0006411E">
            <w:pPr>
              <w:jc w:val="center"/>
              <w:rPr>
                <w:rFonts w:ascii="黑体" w:eastAsia="黑体" w:hAnsi="黑体" w:cs="黑体" w:hint="eastAsia"/>
              </w:rPr>
            </w:pPr>
            <w:r w:rsidRPr="00170071">
              <w:rPr>
                <w:rFonts w:ascii="黑体" w:eastAsia="黑体" w:hAnsi="黑体" w:cs="黑体" w:hint="eastAsia"/>
              </w:rPr>
              <w:t>10</w:t>
            </w:r>
          </w:p>
        </w:tc>
        <w:tc>
          <w:tcPr>
            <w:tcW w:w="1843" w:type="dxa"/>
            <w:vAlign w:val="center"/>
          </w:tcPr>
          <w:p w:rsidR="00843CB2" w:rsidRPr="00170071" w:rsidRDefault="00843CB2" w:rsidP="0006411E">
            <w:pPr>
              <w:rPr>
                <w:rFonts w:ascii="黑体" w:eastAsia="黑体" w:hAnsi="黑体" w:cs="黑体" w:hint="eastAsia"/>
              </w:rPr>
            </w:pPr>
            <w:r w:rsidRPr="00170071">
              <w:rPr>
                <w:rFonts w:ascii="黑体" w:eastAsia="黑体" w:hAnsi="黑体" w:cs="黑体" w:hint="eastAsia"/>
              </w:rPr>
              <w:t>转运风险咨询</w:t>
            </w:r>
          </w:p>
        </w:tc>
        <w:tc>
          <w:tcPr>
            <w:tcW w:w="5375" w:type="dxa"/>
            <w:vAlign w:val="center"/>
          </w:tcPr>
          <w:p w:rsidR="00843CB2" w:rsidRPr="00170071" w:rsidRDefault="00843CB2" w:rsidP="0006411E">
            <w:pPr>
              <w:pStyle w:val="1"/>
              <w:ind w:firstLineChars="0" w:firstLine="0"/>
              <w:rPr>
                <w:rFonts w:ascii="黑体" w:eastAsia="黑体" w:hAnsi="黑体" w:cs="黑体" w:hint="eastAsia"/>
              </w:rPr>
            </w:pPr>
            <w:r w:rsidRPr="00170071">
              <w:rPr>
                <w:rFonts w:ascii="黑体" w:eastAsia="黑体" w:hAnsi="黑体" w:cs="黑体" w:hint="eastAsia"/>
              </w:rPr>
              <w:t>远盟根据被会员具体情况和需求，安排专业医生结合相关医院综合状况为会员做出是否转运、如何转运的咨询建议</w:t>
            </w:r>
          </w:p>
        </w:tc>
        <w:tc>
          <w:tcPr>
            <w:tcW w:w="1988" w:type="dxa"/>
            <w:tcBorders>
              <w:bottom w:val="single" w:sz="4" w:space="0" w:color="auto"/>
            </w:tcBorders>
            <w:vAlign w:val="center"/>
          </w:tcPr>
          <w:p w:rsidR="00843CB2" w:rsidRPr="00170071" w:rsidRDefault="00843CB2" w:rsidP="0006411E">
            <w:pPr>
              <w:pStyle w:val="1"/>
              <w:ind w:firstLineChars="0" w:firstLine="0"/>
              <w:rPr>
                <w:rFonts w:ascii="黑体" w:eastAsia="黑体" w:hAnsi="黑体"/>
              </w:rPr>
            </w:pPr>
          </w:p>
        </w:tc>
      </w:tr>
      <w:tr w:rsidR="00843CB2" w:rsidRPr="00170071" w:rsidTr="0006411E">
        <w:trPr>
          <w:cantSplit/>
          <w:trHeight w:val="946"/>
          <w:jc w:val="center"/>
        </w:trPr>
        <w:tc>
          <w:tcPr>
            <w:tcW w:w="640" w:type="dxa"/>
            <w:vAlign w:val="center"/>
          </w:tcPr>
          <w:p w:rsidR="00843CB2" w:rsidRPr="00170071" w:rsidRDefault="00843CB2" w:rsidP="0006411E">
            <w:pPr>
              <w:jc w:val="center"/>
              <w:rPr>
                <w:rFonts w:ascii="黑体" w:eastAsia="黑体" w:hAnsi="黑体"/>
              </w:rPr>
            </w:pPr>
            <w:r w:rsidRPr="00170071">
              <w:rPr>
                <w:rFonts w:ascii="黑体" w:eastAsia="黑体" w:hAnsi="黑体" w:cs="黑体" w:hint="eastAsia"/>
              </w:rPr>
              <w:t>11</w:t>
            </w:r>
          </w:p>
        </w:tc>
        <w:tc>
          <w:tcPr>
            <w:tcW w:w="1843"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理赔材料收集</w:t>
            </w:r>
          </w:p>
        </w:tc>
        <w:tc>
          <w:tcPr>
            <w:tcW w:w="5375" w:type="dxa"/>
            <w:vAlign w:val="center"/>
          </w:tcPr>
          <w:p w:rsidR="00843CB2" w:rsidRPr="00170071" w:rsidRDefault="00843CB2" w:rsidP="0006411E">
            <w:pPr>
              <w:rPr>
                <w:rFonts w:ascii="黑体" w:eastAsia="黑体" w:hAnsi="黑体"/>
              </w:rPr>
            </w:pPr>
            <w:r w:rsidRPr="00170071">
              <w:rPr>
                <w:rFonts w:ascii="黑体" w:eastAsia="黑体" w:hAnsi="黑体" w:cs="黑体" w:hint="eastAsia"/>
              </w:rPr>
              <w:t>协助会员收集在住院过程中产生的住院病历、诊断证明、化验结果、住院小结、医疗收据等相关理赔所需材料</w:t>
            </w:r>
          </w:p>
        </w:tc>
        <w:tc>
          <w:tcPr>
            <w:tcW w:w="1988" w:type="dxa"/>
            <w:tcBorders>
              <w:top w:val="single" w:sz="4" w:space="0" w:color="auto"/>
            </w:tcBorders>
            <w:vAlign w:val="center"/>
          </w:tcPr>
          <w:p w:rsidR="00843CB2" w:rsidRPr="00170071" w:rsidRDefault="00843CB2" w:rsidP="0006411E">
            <w:pPr>
              <w:pStyle w:val="1"/>
              <w:ind w:firstLineChars="0" w:firstLine="0"/>
              <w:rPr>
                <w:rFonts w:ascii="黑体" w:eastAsia="黑体" w:hAnsi="黑体"/>
              </w:rPr>
            </w:pPr>
            <w:r w:rsidRPr="00170071">
              <w:rPr>
                <w:rFonts w:ascii="黑体" w:eastAsia="黑体" w:hAnsi="黑体" w:cs="黑体" w:hint="eastAsia"/>
              </w:rPr>
              <w:t>须获得会员授权，且只收集保险合同规定的理赔材料</w:t>
            </w:r>
          </w:p>
        </w:tc>
      </w:tr>
    </w:tbl>
    <w:p w:rsidR="00843CB2" w:rsidRPr="00170071" w:rsidRDefault="00843CB2" w:rsidP="00843CB2">
      <w:pPr>
        <w:pStyle w:val="a5"/>
        <w:spacing w:line="360" w:lineRule="auto"/>
        <w:ind w:left="420" w:firstLineChars="0" w:firstLine="0"/>
        <w:rPr>
          <w:rFonts w:ascii="黑体" w:eastAsia="黑体" w:hAnsi="黑体"/>
          <w:b/>
          <w:bCs/>
        </w:rPr>
      </w:pPr>
    </w:p>
    <w:p w:rsidR="00843CB2" w:rsidRPr="00170071" w:rsidRDefault="00843CB2" w:rsidP="00843CB2">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服务区域</w:t>
      </w:r>
    </w:p>
    <w:p w:rsidR="00843CB2" w:rsidRPr="00170071" w:rsidRDefault="00843CB2" w:rsidP="00843CB2">
      <w:pPr>
        <w:spacing w:line="340" w:lineRule="exact"/>
        <w:ind w:left="510"/>
        <w:rPr>
          <w:rFonts w:ascii="黑体" w:eastAsia="黑体" w:hAnsi="黑体" w:cs="微软雅黑" w:hint="eastAsia"/>
          <w:color w:val="000000"/>
          <w:szCs w:val="21"/>
        </w:rPr>
      </w:pPr>
      <w:r w:rsidRPr="00170071">
        <w:rPr>
          <w:rFonts w:ascii="黑体" w:eastAsia="黑体" w:hAnsi="黑体" w:cs="微软雅黑" w:hint="eastAsia"/>
          <w:color w:val="000000"/>
          <w:szCs w:val="21"/>
        </w:rPr>
        <w:t>以上所有服务的服务范围为全国</w:t>
      </w:r>
      <w:r>
        <w:rPr>
          <w:rFonts w:ascii="黑体" w:eastAsia="黑体" w:hAnsi="黑体" w:cs="微软雅黑"/>
          <w:color w:val="000000"/>
          <w:szCs w:val="21"/>
        </w:rPr>
        <w:t>104</w:t>
      </w:r>
      <w:r w:rsidRPr="00170071">
        <w:rPr>
          <w:rFonts w:ascii="黑体" w:eastAsia="黑体" w:hAnsi="黑体" w:cs="微软雅黑" w:hint="eastAsia"/>
          <w:color w:val="000000"/>
          <w:szCs w:val="21"/>
        </w:rPr>
        <w:t>个城市，</w:t>
      </w:r>
      <w:r>
        <w:rPr>
          <w:rFonts w:ascii="黑体" w:eastAsia="黑体" w:hAnsi="黑体" w:cs="微软雅黑"/>
          <w:color w:val="000000"/>
          <w:szCs w:val="21"/>
        </w:rPr>
        <w:t>107</w:t>
      </w:r>
      <w:r w:rsidRPr="00170071">
        <w:rPr>
          <w:rFonts w:ascii="黑体" w:eastAsia="黑体" w:hAnsi="黑体" w:cs="微软雅黑" w:hint="eastAsia"/>
          <w:color w:val="000000"/>
          <w:szCs w:val="21"/>
        </w:rPr>
        <w:t>个急救中心及937网络医院（急救范围以急救中心覆盖范围为标准），服务的城市为：</w:t>
      </w:r>
    </w:p>
    <w:p w:rsidR="00843CB2" w:rsidRPr="00170071" w:rsidRDefault="00843CB2" w:rsidP="00843CB2">
      <w:pPr>
        <w:spacing w:line="360" w:lineRule="auto"/>
        <w:ind w:left="420"/>
        <w:jc w:val="left"/>
        <w:rPr>
          <w:rFonts w:ascii="黑体" w:eastAsia="黑体" w:hAnsi="黑体" w:hint="eastAsia"/>
          <w:color w:val="000000"/>
          <w:szCs w:val="21"/>
        </w:rPr>
      </w:pPr>
      <w:r w:rsidRPr="00A52085">
        <w:rPr>
          <w:rFonts w:ascii="黑体" w:eastAsia="黑体" w:hAnsi="黑体" w:cs="宋体" w:hint="eastAsia"/>
          <w:bCs/>
          <w:color w:val="000000"/>
          <w:szCs w:val="21"/>
        </w:rPr>
        <w:t>北京、天津、石家庄、秦皇岛、邯郸、济南、青岛、滨州、德州、济宁、聊城、淄博、威海、烟台、日照、枣庄、太原、晋中、长治、大同、晋城、武汉、十堰、宜昌、荆州、</w:t>
      </w:r>
      <w:r w:rsidRPr="00A52085">
        <w:rPr>
          <w:rFonts w:ascii="黑体" w:eastAsia="黑体" w:hAnsi="黑体" w:cs="宋体" w:hint="eastAsia"/>
          <w:bCs/>
          <w:color w:val="000000"/>
          <w:szCs w:val="21"/>
        </w:rPr>
        <w:lastRenderedPageBreak/>
        <w:t>鄂州、孝感、咸宁、西安、乌鲁木齐、西藏、郑州、洛阳、安阳、信阳、开封、周口、南阳、哈尔滨、牡丹江、绥化、吉林、长春、延吉、沈阳、鞍山、大连、抚顺、锦州、朝阳、葫芦岛、呼和浩特、包头、鄂尔多斯、银川、兰州、西宁、成都、眉山、重庆、昆明、贵阳、上海、南京、泰州、苏州、南通、常州、无锡、淮安、常熟、镇江、昆山、连云港、宿迁、盐城、太仓、徐州、扬州、杭州、宁波、金华、永康、绍兴、台州、湖州、丽水、合肥、马鞍山、长沙、浏阳、南昌、南宁、柳州、百色、广州、深圳、珠海、中山、肇庆、福州、厦门、海口、三亚</w:t>
      </w:r>
      <w:r w:rsidRPr="00170071">
        <w:rPr>
          <w:rFonts w:ascii="黑体" w:eastAsia="黑体" w:hAnsi="黑体" w:hint="eastAsia"/>
          <w:color w:val="000000"/>
          <w:szCs w:val="21"/>
        </w:rPr>
        <w:t>（标准服务涵盖全国所有省会、直辖市、计划单列市在内的</w:t>
      </w:r>
      <w:r>
        <w:rPr>
          <w:rFonts w:ascii="黑体" w:eastAsia="黑体" w:hAnsi="黑体"/>
          <w:color w:val="000000"/>
          <w:szCs w:val="21"/>
        </w:rPr>
        <w:t>104</w:t>
      </w:r>
      <w:r w:rsidRPr="00170071">
        <w:rPr>
          <w:rFonts w:ascii="黑体" w:eastAsia="黑体" w:hAnsi="黑体" w:hint="eastAsia"/>
          <w:color w:val="000000"/>
          <w:szCs w:val="21"/>
        </w:rPr>
        <w:t>个城市，超出上述范围可通过</w:t>
      </w:r>
      <w:r>
        <w:rPr>
          <w:rFonts w:ascii="黑体" w:eastAsia="黑体" w:hAnsi="黑体" w:hint="eastAsia"/>
          <w:color w:val="000000"/>
          <w:szCs w:val="21"/>
        </w:rPr>
        <w:t>远盟</w:t>
      </w:r>
      <w:r w:rsidRPr="00170071">
        <w:rPr>
          <w:rFonts w:ascii="黑体" w:eastAsia="黑体" w:hAnsi="黑体" w:hint="eastAsia"/>
          <w:color w:val="000000"/>
          <w:szCs w:val="21"/>
        </w:rPr>
        <w:t>协调解决，响应时间上会有所不同）</w:t>
      </w:r>
    </w:p>
    <w:p w:rsidR="00843CB2" w:rsidRPr="00170071" w:rsidRDefault="00843CB2" w:rsidP="00843CB2">
      <w:pPr>
        <w:spacing w:line="360" w:lineRule="auto"/>
        <w:ind w:left="360"/>
        <w:rPr>
          <w:rFonts w:ascii="黑体" w:eastAsia="黑体" w:hAnsi="黑体"/>
        </w:rPr>
      </w:pPr>
    </w:p>
    <w:p w:rsidR="00843CB2" w:rsidRPr="00170071" w:rsidRDefault="00843CB2" w:rsidP="00843CB2">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服务方式</w:t>
      </w:r>
    </w:p>
    <w:p w:rsidR="00843CB2" w:rsidRPr="00170071" w:rsidRDefault="00843CB2" w:rsidP="00843CB2">
      <w:pPr>
        <w:pStyle w:val="a5"/>
        <w:tabs>
          <w:tab w:val="left" w:pos="709"/>
        </w:tabs>
        <w:spacing w:line="360" w:lineRule="auto"/>
        <w:ind w:left="709" w:firstLineChars="0" w:firstLine="0"/>
        <w:rPr>
          <w:rFonts w:ascii="黑体" w:eastAsia="黑体" w:hAnsi="黑体" w:cs="黑体" w:hint="eastAsia"/>
        </w:rPr>
      </w:pPr>
      <w:r w:rsidRPr="00170071">
        <w:rPr>
          <w:rFonts w:ascii="黑体" w:eastAsia="黑体" w:hAnsi="黑体" w:cs="黑体" w:hint="eastAsia"/>
        </w:rPr>
        <w:t>拨打远盟</w:t>
      </w:r>
      <w:r w:rsidRPr="00170071">
        <w:rPr>
          <w:rFonts w:ascii="黑体" w:eastAsia="黑体" w:hAnsi="黑体" w:cs="黑体"/>
        </w:rPr>
        <w:t>7</w:t>
      </w:r>
      <w:r w:rsidRPr="00170071">
        <w:rPr>
          <w:rFonts w:ascii="黑体" w:eastAsia="黑体" w:hAnsi="黑体" w:cs="黑体" w:hint="eastAsia"/>
        </w:rPr>
        <w:t>×</w:t>
      </w:r>
      <w:r w:rsidRPr="00170071">
        <w:rPr>
          <w:rFonts w:ascii="黑体" w:eastAsia="黑体" w:hAnsi="黑体" w:cs="黑体"/>
        </w:rPr>
        <w:t>24</w:t>
      </w:r>
      <w:r w:rsidRPr="00170071">
        <w:rPr>
          <w:rFonts w:ascii="黑体" w:eastAsia="黑体" w:hAnsi="黑体" w:cs="黑体" w:hint="eastAsia"/>
        </w:rPr>
        <w:t>小时双语服务热线：</w:t>
      </w:r>
      <w:r>
        <w:rPr>
          <w:rFonts w:ascii="黑体" w:eastAsia="黑体" w:hAnsi="黑体" w:cs="黑体"/>
        </w:rPr>
        <w:t>400 910 5511</w:t>
      </w:r>
      <w:r w:rsidRPr="00170071">
        <w:rPr>
          <w:rFonts w:ascii="黑体" w:eastAsia="黑体" w:hAnsi="黑体" w:cs="黑体" w:hint="eastAsia"/>
        </w:rPr>
        <w:t>。</w:t>
      </w:r>
    </w:p>
    <w:p w:rsidR="00843CB2" w:rsidRPr="00170071" w:rsidRDefault="00843CB2" w:rsidP="00843CB2">
      <w:pPr>
        <w:pStyle w:val="a5"/>
        <w:tabs>
          <w:tab w:val="left" w:pos="709"/>
        </w:tabs>
        <w:spacing w:line="360" w:lineRule="auto"/>
        <w:ind w:left="709" w:firstLineChars="0" w:firstLine="0"/>
        <w:rPr>
          <w:rFonts w:ascii="黑体" w:eastAsia="黑体" w:hAnsi="黑体"/>
        </w:rPr>
      </w:pPr>
    </w:p>
    <w:p w:rsidR="00843CB2" w:rsidRPr="00170071" w:rsidRDefault="00843CB2" w:rsidP="00843CB2">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服务流程</w:t>
      </w:r>
    </w:p>
    <w:p w:rsidR="00843CB2" w:rsidRPr="00170071" w:rsidRDefault="00843CB2" w:rsidP="00843CB2">
      <w:pPr>
        <w:rPr>
          <w:rFonts w:ascii="黑体" w:eastAsia="黑体" w:hAnsi="黑体"/>
        </w:rPr>
      </w:pPr>
      <w:r>
        <w:rPr>
          <w:rFonts w:ascii="黑体" w:eastAsia="黑体" w:hAnsi="黑体"/>
          <w:noProof/>
        </w:rPr>
        <w:drawing>
          <wp:inline distT="0" distB="0" distL="0" distR="0">
            <wp:extent cx="5753100" cy="2933700"/>
            <wp:effectExtent l="0" t="0" r="0" b="0"/>
            <wp:docPr id="1" name="图片 1" descr="意外住院紧急救援垫付服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意外住院紧急救援垫付服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inline>
        </w:drawing>
      </w:r>
    </w:p>
    <w:p w:rsidR="00843CB2" w:rsidRPr="00170071" w:rsidRDefault="00843CB2" w:rsidP="00843CB2">
      <w:pPr>
        <w:spacing w:line="360" w:lineRule="exact"/>
        <w:ind w:firstLineChars="85" w:firstLine="204"/>
        <w:rPr>
          <w:rFonts w:ascii="黑体" w:eastAsia="黑体" w:hAnsi="黑体"/>
          <w:color w:val="000000"/>
          <w:sz w:val="24"/>
        </w:rPr>
      </w:pPr>
    </w:p>
    <w:p w:rsidR="00843CB2" w:rsidRPr="00170071" w:rsidRDefault="00843CB2" w:rsidP="00843CB2">
      <w:pPr>
        <w:pStyle w:val="a5"/>
        <w:spacing w:line="340" w:lineRule="exact"/>
        <w:ind w:firstLineChars="0" w:firstLine="0"/>
        <w:rPr>
          <w:rFonts w:ascii="黑体" w:eastAsia="黑体" w:hAnsi="黑体" w:hint="eastAsia"/>
          <w:b/>
          <w:color w:val="000000"/>
          <w:szCs w:val="21"/>
        </w:rPr>
      </w:pPr>
    </w:p>
    <w:p w:rsidR="00D762E3" w:rsidRDefault="00471197">
      <w:bookmarkStart w:id="0" w:name="_GoBack"/>
      <w:bookmarkEnd w:id="0"/>
    </w:p>
    <w:sectPr w:rsidR="00D76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97" w:rsidRDefault="00471197" w:rsidP="00843CB2">
      <w:r>
        <w:separator/>
      </w:r>
    </w:p>
  </w:endnote>
  <w:endnote w:type="continuationSeparator" w:id="0">
    <w:p w:rsidR="00471197" w:rsidRDefault="00471197" w:rsidP="0084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97" w:rsidRDefault="00471197" w:rsidP="00843CB2">
      <w:r>
        <w:separator/>
      </w:r>
    </w:p>
  </w:footnote>
  <w:footnote w:type="continuationSeparator" w:id="0">
    <w:p w:rsidR="00471197" w:rsidRDefault="00471197" w:rsidP="00843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4456"/>
    <w:multiLevelType w:val="hybridMultilevel"/>
    <w:tmpl w:val="9DFC4676"/>
    <w:lvl w:ilvl="0" w:tplc="04090017">
      <w:start w:val="1"/>
      <w:numFmt w:val="chineseCountingThousand"/>
      <w:lvlText w:val="(%1)"/>
      <w:lvlJc w:val="left"/>
      <w:pPr>
        <w:ind w:left="510" w:hanging="420"/>
      </w:p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B7"/>
    <w:rsid w:val="00116BB7"/>
    <w:rsid w:val="00203793"/>
    <w:rsid w:val="00471197"/>
    <w:rsid w:val="00843CB2"/>
    <w:rsid w:val="008C0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3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3CB2"/>
    <w:rPr>
      <w:sz w:val="18"/>
      <w:szCs w:val="18"/>
    </w:rPr>
  </w:style>
  <w:style w:type="paragraph" w:styleId="a4">
    <w:name w:val="footer"/>
    <w:basedOn w:val="a"/>
    <w:link w:val="Char0"/>
    <w:uiPriority w:val="99"/>
    <w:unhideWhenUsed/>
    <w:rsid w:val="00843CB2"/>
    <w:pPr>
      <w:tabs>
        <w:tab w:val="center" w:pos="4153"/>
        <w:tab w:val="right" w:pos="8306"/>
      </w:tabs>
      <w:snapToGrid w:val="0"/>
      <w:jc w:val="left"/>
    </w:pPr>
    <w:rPr>
      <w:sz w:val="18"/>
      <w:szCs w:val="18"/>
    </w:rPr>
  </w:style>
  <w:style w:type="character" w:customStyle="1" w:styleId="Char0">
    <w:name w:val="页脚 Char"/>
    <w:basedOn w:val="a0"/>
    <w:link w:val="a4"/>
    <w:uiPriority w:val="99"/>
    <w:rsid w:val="00843CB2"/>
    <w:rPr>
      <w:sz w:val="18"/>
      <w:szCs w:val="18"/>
    </w:rPr>
  </w:style>
  <w:style w:type="paragraph" w:styleId="a5">
    <w:name w:val="List Paragraph"/>
    <w:basedOn w:val="a"/>
    <w:link w:val="Char1"/>
    <w:uiPriority w:val="99"/>
    <w:qFormat/>
    <w:rsid w:val="00843CB2"/>
    <w:pPr>
      <w:ind w:firstLineChars="200" w:firstLine="420"/>
    </w:pPr>
    <w:rPr>
      <w:rFonts w:ascii="Calibri" w:hAnsi="Calibri"/>
      <w:szCs w:val="22"/>
    </w:rPr>
  </w:style>
  <w:style w:type="paragraph" w:customStyle="1" w:styleId="1">
    <w:name w:val="列出段落1"/>
    <w:basedOn w:val="a"/>
    <w:uiPriority w:val="99"/>
    <w:rsid w:val="00843CB2"/>
    <w:pPr>
      <w:ind w:firstLineChars="200" w:firstLine="420"/>
    </w:pPr>
    <w:rPr>
      <w:szCs w:val="21"/>
    </w:rPr>
  </w:style>
  <w:style w:type="character" w:customStyle="1" w:styleId="Char1">
    <w:name w:val="列出段落 Char"/>
    <w:link w:val="a5"/>
    <w:uiPriority w:val="99"/>
    <w:rsid w:val="00843CB2"/>
    <w:rPr>
      <w:rFonts w:ascii="Calibri" w:eastAsia="宋体" w:hAnsi="Calibri" w:cs="Times New Roman"/>
    </w:rPr>
  </w:style>
  <w:style w:type="paragraph" w:styleId="a6">
    <w:name w:val="Balloon Text"/>
    <w:basedOn w:val="a"/>
    <w:link w:val="Char2"/>
    <w:uiPriority w:val="99"/>
    <w:semiHidden/>
    <w:unhideWhenUsed/>
    <w:rsid w:val="00843CB2"/>
    <w:rPr>
      <w:sz w:val="18"/>
      <w:szCs w:val="18"/>
    </w:rPr>
  </w:style>
  <w:style w:type="character" w:customStyle="1" w:styleId="Char2">
    <w:name w:val="批注框文本 Char"/>
    <w:basedOn w:val="a0"/>
    <w:link w:val="a6"/>
    <w:uiPriority w:val="99"/>
    <w:semiHidden/>
    <w:rsid w:val="00843CB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3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3CB2"/>
    <w:rPr>
      <w:sz w:val="18"/>
      <w:szCs w:val="18"/>
    </w:rPr>
  </w:style>
  <w:style w:type="paragraph" w:styleId="a4">
    <w:name w:val="footer"/>
    <w:basedOn w:val="a"/>
    <w:link w:val="Char0"/>
    <w:uiPriority w:val="99"/>
    <w:unhideWhenUsed/>
    <w:rsid w:val="00843CB2"/>
    <w:pPr>
      <w:tabs>
        <w:tab w:val="center" w:pos="4153"/>
        <w:tab w:val="right" w:pos="8306"/>
      </w:tabs>
      <w:snapToGrid w:val="0"/>
      <w:jc w:val="left"/>
    </w:pPr>
    <w:rPr>
      <w:sz w:val="18"/>
      <w:szCs w:val="18"/>
    </w:rPr>
  </w:style>
  <w:style w:type="character" w:customStyle="1" w:styleId="Char0">
    <w:name w:val="页脚 Char"/>
    <w:basedOn w:val="a0"/>
    <w:link w:val="a4"/>
    <w:uiPriority w:val="99"/>
    <w:rsid w:val="00843CB2"/>
    <w:rPr>
      <w:sz w:val="18"/>
      <w:szCs w:val="18"/>
    </w:rPr>
  </w:style>
  <w:style w:type="paragraph" w:styleId="a5">
    <w:name w:val="List Paragraph"/>
    <w:basedOn w:val="a"/>
    <w:link w:val="Char1"/>
    <w:uiPriority w:val="99"/>
    <w:qFormat/>
    <w:rsid w:val="00843CB2"/>
    <w:pPr>
      <w:ind w:firstLineChars="200" w:firstLine="420"/>
    </w:pPr>
    <w:rPr>
      <w:rFonts w:ascii="Calibri" w:hAnsi="Calibri"/>
      <w:szCs w:val="22"/>
    </w:rPr>
  </w:style>
  <w:style w:type="paragraph" w:customStyle="1" w:styleId="1">
    <w:name w:val="列出段落1"/>
    <w:basedOn w:val="a"/>
    <w:uiPriority w:val="99"/>
    <w:rsid w:val="00843CB2"/>
    <w:pPr>
      <w:ind w:firstLineChars="200" w:firstLine="420"/>
    </w:pPr>
    <w:rPr>
      <w:szCs w:val="21"/>
    </w:rPr>
  </w:style>
  <w:style w:type="character" w:customStyle="1" w:styleId="Char1">
    <w:name w:val="列出段落 Char"/>
    <w:link w:val="a5"/>
    <w:uiPriority w:val="99"/>
    <w:rsid w:val="00843CB2"/>
    <w:rPr>
      <w:rFonts w:ascii="Calibri" w:eastAsia="宋体" w:hAnsi="Calibri" w:cs="Times New Roman"/>
    </w:rPr>
  </w:style>
  <w:style w:type="paragraph" w:styleId="a6">
    <w:name w:val="Balloon Text"/>
    <w:basedOn w:val="a"/>
    <w:link w:val="Char2"/>
    <w:uiPriority w:val="99"/>
    <w:semiHidden/>
    <w:unhideWhenUsed/>
    <w:rsid w:val="00843CB2"/>
    <w:rPr>
      <w:sz w:val="18"/>
      <w:szCs w:val="18"/>
    </w:rPr>
  </w:style>
  <w:style w:type="character" w:customStyle="1" w:styleId="Char2">
    <w:name w:val="批注框文本 Char"/>
    <w:basedOn w:val="a0"/>
    <w:link w:val="a6"/>
    <w:uiPriority w:val="99"/>
    <w:semiHidden/>
    <w:rsid w:val="00843C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Company>中国平安保险(集团)股份有限公司</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2016-12-19T10:13:00Z</dcterms:created>
  <dcterms:modified xsi:type="dcterms:W3CDTF">2016-12-19T10:14:00Z</dcterms:modified>
</cp:coreProperties>
</file>